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1680" w:firstLineChars="200"/>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中共河北省纪委</w:t>
      </w:r>
      <w:r>
        <w:rPr>
          <w:rFonts w:ascii="Times New Roman" w:hAnsi="Times New Roman" w:eastAsia="方正小标宋_GBK" w:cs="Times New Roman"/>
          <w:sz w:val="44"/>
          <w:szCs w:val="44"/>
        </w:rPr>
        <w:t>2018</w:t>
      </w:r>
      <w:r>
        <w:rPr>
          <w:rFonts w:hint="eastAsia" w:ascii="Times New Roman" w:hAnsi="Times New Roman" w:eastAsia="方正小标宋_GBK" w:cs="方正小标宋_GBK"/>
          <w:sz w:val="44"/>
          <w:szCs w:val="44"/>
        </w:rPr>
        <w:t>年部门预算信息公开</w:t>
      </w:r>
    </w:p>
    <w:p>
      <w:pPr>
        <w:ind w:firstLine="31680" w:firstLineChars="200"/>
        <w:rPr>
          <w:rFonts w:ascii="仿宋" w:hAnsi="仿宋" w:eastAsia="仿宋" w:cs="Times New Roman"/>
          <w:sz w:val="32"/>
          <w:szCs w:val="32"/>
        </w:rPr>
      </w:pPr>
      <w:r>
        <w:rPr>
          <w:rFonts w:hint="eastAsia" w:ascii="仿宋" w:hAnsi="仿宋" w:eastAsia="仿宋" w:cs="仿宋"/>
          <w:sz w:val="32"/>
          <w:szCs w:val="32"/>
        </w:rPr>
        <w:t>按照《预算法》、《地方预决算公开操作规程》和《河北省省级预算公开办法》规定，现将中共河北省纪委</w:t>
      </w:r>
      <w:r>
        <w:rPr>
          <w:rFonts w:ascii="仿宋" w:hAnsi="仿宋" w:eastAsia="仿宋" w:cs="仿宋"/>
          <w:sz w:val="32"/>
          <w:szCs w:val="32"/>
        </w:rPr>
        <w:t>2018</w:t>
      </w:r>
      <w:r>
        <w:rPr>
          <w:rFonts w:hint="eastAsia" w:ascii="仿宋" w:hAnsi="仿宋" w:eastAsia="仿宋" w:cs="仿宋"/>
          <w:sz w:val="32"/>
          <w:szCs w:val="32"/>
        </w:rPr>
        <w:t>年部门预算公开如下：</w:t>
      </w:r>
    </w:p>
    <w:p>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pPr>
        <w:pStyle w:val="10"/>
        <w:widowControl/>
        <w:spacing w:line="27" w:lineRule="atLeast"/>
        <w:ind w:firstLine="31680" w:firstLineChars="200"/>
        <w:jc w:val="both"/>
        <w:rPr>
          <w:rFonts w:ascii="黑体" w:hAnsi="黑体" w:eastAsia="黑体" w:cs="Times New Roman"/>
          <w:b/>
          <w:bCs/>
          <w:sz w:val="32"/>
          <w:szCs w:val="32"/>
        </w:rPr>
      </w:pPr>
      <w:r>
        <w:rPr>
          <w:rFonts w:hint="eastAsia" w:ascii="黑体" w:hAnsi="黑体" w:eastAsia="黑体" w:cs="黑体"/>
          <w:b/>
          <w:bCs/>
          <w:sz w:val="32"/>
          <w:szCs w:val="32"/>
          <w:shd w:val="clear" w:color="auto" w:fill="FFFFFF"/>
        </w:rPr>
        <w:t>部门职责：</w:t>
      </w:r>
    </w:p>
    <w:p>
      <w:pPr>
        <w:pStyle w:val="10"/>
        <w:widowControl/>
        <w:spacing w:line="27" w:lineRule="atLeast"/>
        <w:ind w:firstLine="3168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（一）主管全省党的纪律检查工作。</w:t>
      </w:r>
    </w:p>
    <w:p>
      <w:pPr>
        <w:pStyle w:val="10"/>
        <w:widowControl/>
        <w:spacing w:line="27" w:lineRule="atLeast"/>
        <w:ind w:firstLine="31680" w:firstLineChars="200"/>
        <w:jc w:val="both"/>
        <w:rPr>
          <w:rFonts w:ascii="仿宋" w:hAnsi="仿宋" w:eastAsia="仿宋" w:cs="Times New Roman"/>
          <w:sz w:val="32"/>
          <w:szCs w:val="32"/>
        </w:rPr>
      </w:pPr>
      <w:r>
        <w:rPr>
          <w:rFonts w:hint="eastAsia" w:ascii="仿宋" w:hAnsi="仿宋" w:eastAsia="仿宋" w:cs="仿宋"/>
          <w:sz w:val="32"/>
          <w:szCs w:val="32"/>
          <w:shd w:val="clear" w:color="auto" w:fill="FFFFFF"/>
        </w:rPr>
        <w:t>（二）主管全省行政监察工作。</w:t>
      </w:r>
    </w:p>
    <w:p>
      <w:pPr>
        <w:pStyle w:val="10"/>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三）负责检查并处理省委省政府机关各部门，各市地党的组织和省委管理的党员领导干部违反党的章程及其他党内法规的案件，决定或取消对这些案件中的党员的处分；受理党员的控告和申诉，必要时直接查处下级党的纪律检查机关管辖范围内的比较重要或复杂的案件。</w:t>
      </w:r>
    </w:p>
    <w:p>
      <w:pPr>
        <w:pStyle w:val="10"/>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四）负责调查处理省政府各部门及其他工作人员，各市地政府及其主要负责人违反国家政策、法律法规以及违反政纪的行为，并根据责任人所犯错误的情节轻重，做出撤职及撤职以下行政处分；受理监察对象不服政纪处分的申诉，受理个人或单位对监察对象违纪行为的检举、控告。</w:t>
      </w:r>
    </w:p>
    <w:p>
      <w:pPr>
        <w:pStyle w:val="10"/>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（五）负责作出关于维护党纪的决定，制定全省党风党纪教育规划，配合有关部门做好宣传党的纪检工作方针、政策和教育党员遵守纪律的工作。</w:t>
      </w:r>
    </w:p>
    <w:p>
      <w:pPr>
        <w:pStyle w:val="10"/>
        <w:widowControl/>
        <w:spacing w:line="27" w:lineRule="atLeast"/>
        <w:ind w:firstLine="3168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（六）会同有关部门做好行政监察工作方针、政策和法律法规的宣传工作，教育国家工作人员遵纪守法，为政清廉。</w:t>
      </w:r>
    </w:p>
    <w:p>
      <w:pPr>
        <w:pStyle w:val="10"/>
        <w:widowControl/>
        <w:spacing w:line="27" w:lineRule="atLeast"/>
        <w:ind w:firstLine="3168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（七）负责对党的纪律检查工作理论及有关问题进行调查研究，拟定党纪条规和政策规定，参与制定党内法规。</w:t>
      </w:r>
    </w:p>
    <w:p>
      <w:pPr>
        <w:pStyle w:val="10"/>
        <w:widowControl/>
        <w:spacing w:line="27" w:lineRule="atLeast"/>
        <w:ind w:firstLine="3168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（八）调查研究省政府各部门和地方政府制定的有关政策、法规情况，对其违反国家法律和有损国家利益的条款，提出修改、补充建议；变更或撤销地市及其以下行政监察机关不适当的决定和规定。</w:t>
      </w:r>
    </w:p>
    <w:p>
      <w:pPr>
        <w:pStyle w:val="10"/>
        <w:widowControl/>
        <w:spacing w:line="27" w:lineRule="atLeast"/>
        <w:ind w:firstLine="3168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九）会同省直有关部门以及各市地党委、政府做好纪检监察干部的管理工作，审核市地纪委领导班子和监察局领导干部人选；负责省纪委、监察厅派驻各部门除“省管干部”以外的纪检组、监察专员办公室领导干部的任免工作；组织和指导全省纪检监察干部的培训工作；</w:t>
      </w:r>
    </w:p>
    <w:p>
      <w:pPr>
        <w:pStyle w:val="10"/>
        <w:widowControl/>
        <w:spacing w:line="27" w:lineRule="atLeast"/>
        <w:ind w:firstLine="3168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（十）承办省委、省政府及中纪委、监察部授权和交办的其他工作。</w:t>
      </w:r>
    </w:p>
    <w:p>
      <w:pPr>
        <w:autoSpaceDE w:val="0"/>
        <w:autoSpaceDN w:val="0"/>
        <w:adjustRightInd w:val="0"/>
        <w:ind w:left="198" w:firstLine="31680" w:firstLineChars="200"/>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机构设置：</w:t>
      </w:r>
    </w:p>
    <w:p>
      <w:pPr>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8"/>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4443"/>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00" w:hRule="atLeast"/>
          <w:tblHeader/>
          <w:jc w:val="center"/>
        </w:trPr>
        <w:tc>
          <w:tcPr>
            <w:tcW w:w="4443"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单位名称</w:t>
            </w:r>
          </w:p>
        </w:tc>
        <w:tc>
          <w:tcPr>
            <w:tcW w:w="1134"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单位性质</w:t>
            </w:r>
          </w:p>
        </w:tc>
        <w:tc>
          <w:tcPr>
            <w:tcW w:w="1276"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单位规格</w:t>
            </w:r>
          </w:p>
        </w:tc>
        <w:tc>
          <w:tcPr>
            <w:tcW w:w="2902"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300" w:hRule="atLeast"/>
          <w:tblHeader/>
          <w:jc w:val="center"/>
        </w:trPr>
        <w:tc>
          <w:tcPr>
            <w:tcW w:w="4443" w:type="dxa"/>
            <w:vMerge w:val="continue"/>
            <w:vAlign w:val="center"/>
          </w:tcPr>
          <w:p>
            <w:pPr>
              <w:spacing w:line="300" w:lineRule="exact"/>
              <w:jc w:val="left"/>
              <w:outlineLvl w:val="0"/>
              <w:rPr>
                <w:rFonts w:ascii="Times New Roman" w:hAnsi="Times New Roman" w:cs="Times New Roman"/>
              </w:rPr>
            </w:pPr>
          </w:p>
        </w:tc>
        <w:tc>
          <w:tcPr>
            <w:tcW w:w="1134" w:type="dxa"/>
            <w:vMerge w:val="continue"/>
            <w:vAlign w:val="center"/>
          </w:tcPr>
          <w:p>
            <w:pPr>
              <w:spacing w:line="300" w:lineRule="exact"/>
              <w:jc w:val="left"/>
              <w:outlineLvl w:val="0"/>
              <w:rPr>
                <w:rFonts w:ascii="Times New Roman" w:hAnsi="Times New Roman" w:cs="Times New Roman"/>
              </w:rPr>
            </w:pPr>
          </w:p>
        </w:tc>
        <w:tc>
          <w:tcPr>
            <w:tcW w:w="1276" w:type="dxa"/>
            <w:vMerge w:val="continue"/>
            <w:vAlign w:val="center"/>
          </w:tcPr>
          <w:p>
            <w:pPr>
              <w:spacing w:line="300" w:lineRule="exact"/>
              <w:jc w:val="left"/>
              <w:outlineLvl w:val="0"/>
              <w:rPr>
                <w:rFonts w:ascii="Times New Roman" w:hAnsi="Times New Roman" w:cs="Times New Roman"/>
              </w:rPr>
            </w:pPr>
          </w:p>
        </w:tc>
        <w:tc>
          <w:tcPr>
            <w:tcW w:w="2902" w:type="dxa"/>
            <w:vMerge w:val="continue"/>
            <w:vAlign w:val="center"/>
          </w:tcPr>
          <w:p>
            <w:pPr>
              <w:spacing w:line="300" w:lineRule="exact"/>
              <w:jc w:val="left"/>
              <w:outlineLvl w:val="0"/>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中共河北省纪律检查委员会</w:t>
            </w:r>
          </w:p>
        </w:tc>
        <w:tc>
          <w:tcPr>
            <w:tcW w:w="1134" w:type="dxa"/>
            <w:vAlign w:val="center"/>
          </w:tcPr>
          <w:p>
            <w:pPr>
              <w:spacing w:line="300" w:lineRule="exact"/>
              <w:ind w:firstLine="31680" w:firstLineChars="100"/>
              <w:jc w:val="left"/>
              <w:rPr>
                <w:rFonts w:ascii="Times New Roman" w:hAnsi="Times New Roman" w:eastAsia="方正书宋_GBK" w:cs="Times New Roman"/>
              </w:rPr>
            </w:pPr>
            <w:r>
              <w:rPr>
                <w:rFonts w:hint="eastAsia" w:ascii="Times New Roman" w:hAnsi="Times New Roman" w:eastAsia="方正书宋_GBK" w:cs="方正书宋_GBK"/>
              </w:rPr>
              <w:t>行政</w:t>
            </w:r>
          </w:p>
        </w:tc>
        <w:tc>
          <w:tcPr>
            <w:tcW w:w="1276" w:type="dxa"/>
            <w:vAlign w:val="center"/>
          </w:tcPr>
          <w:p>
            <w:pPr>
              <w:spacing w:line="300" w:lineRule="exact"/>
              <w:ind w:firstLine="31680" w:firstLineChars="50"/>
              <w:jc w:val="left"/>
              <w:rPr>
                <w:rFonts w:ascii="Times New Roman" w:hAnsi="Times New Roman" w:eastAsia="方正书宋_GBK" w:cs="Times New Roman"/>
              </w:rPr>
            </w:pPr>
            <w:r>
              <w:rPr>
                <w:rFonts w:hint="eastAsia" w:ascii="Times New Roman" w:hAnsi="Times New Roman" w:eastAsia="方正书宋_GBK" w:cs="方正书宋_GBK"/>
              </w:rPr>
              <w:t>正厅级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省纪委监察厅廉政教育培训中心</w:t>
            </w:r>
          </w:p>
        </w:tc>
        <w:tc>
          <w:tcPr>
            <w:tcW w:w="1134" w:type="dxa"/>
            <w:vAlign w:val="center"/>
          </w:tcPr>
          <w:p>
            <w:pPr>
              <w:spacing w:line="300" w:lineRule="exact"/>
              <w:ind w:firstLine="31680" w:firstLineChars="100"/>
              <w:jc w:val="left"/>
              <w:rPr>
                <w:rFonts w:ascii="Times New Roman" w:hAnsi="Times New Roman" w:eastAsia="方正书宋_GBK" w:cs="Times New Roman"/>
              </w:rPr>
            </w:pPr>
            <w:r>
              <w:rPr>
                <w:rFonts w:hint="eastAsia" w:ascii="Times New Roman" w:hAnsi="Times New Roman" w:eastAsia="方正书宋_GBK" w:cs="方正书宋_GBK"/>
              </w:rPr>
              <w:t>事业</w:t>
            </w:r>
          </w:p>
        </w:tc>
        <w:tc>
          <w:tcPr>
            <w:tcW w:w="1276" w:type="dxa"/>
            <w:vAlign w:val="center"/>
          </w:tcPr>
          <w:p>
            <w:pPr>
              <w:spacing w:line="300" w:lineRule="exact"/>
              <w:ind w:firstLine="31680" w:firstLineChars="50"/>
              <w:jc w:val="left"/>
              <w:rPr>
                <w:rFonts w:ascii="Times New Roman" w:hAnsi="Times New Roman" w:eastAsia="方正书宋_GBK" w:cs="Times New Roman"/>
              </w:rPr>
            </w:pPr>
            <w:r>
              <w:rPr>
                <w:rFonts w:hint="eastAsia" w:ascii="Times New Roman" w:hAnsi="Times New Roman" w:eastAsia="方正书宋_GBK" w:cs="方正书宋_GBK"/>
              </w:rPr>
              <w:t>正处级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省委巡视工作领导小组办公室</w:t>
            </w:r>
          </w:p>
        </w:tc>
        <w:tc>
          <w:tcPr>
            <w:tcW w:w="1134" w:type="dxa"/>
            <w:vAlign w:val="center"/>
          </w:tcPr>
          <w:p>
            <w:pPr>
              <w:spacing w:line="300" w:lineRule="exact"/>
              <w:ind w:firstLine="31680" w:firstLineChars="100"/>
              <w:jc w:val="left"/>
              <w:rPr>
                <w:rFonts w:ascii="Times New Roman" w:hAnsi="Times New Roman" w:eastAsia="方正书宋_GBK" w:cs="Times New Roman"/>
              </w:rPr>
            </w:pPr>
            <w:r>
              <w:rPr>
                <w:rFonts w:hint="eastAsia" w:ascii="Times New Roman" w:hAnsi="Times New Roman" w:eastAsia="方正书宋_GBK" w:cs="方正书宋_GBK"/>
              </w:rPr>
              <w:t>行政</w:t>
            </w:r>
          </w:p>
        </w:tc>
        <w:tc>
          <w:tcPr>
            <w:tcW w:w="1276" w:type="dxa"/>
            <w:vAlign w:val="center"/>
          </w:tcPr>
          <w:p>
            <w:pPr>
              <w:spacing w:line="300" w:lineRule="exact"/>
              <w:ind w:firstLine="31680" w:firstLineChars="50"/>
              <w:jc w:val="left"/>
              <w:rPr>
                <w:rFonts w:ascii="Times New Roman" w:hAnsi="Times New Roman" w:eastAsia="方正书宋_GBK" w:cs="Times New Roman"/>
              </w:rPr>
            </w:pPr>
            <w:r>
              <w:rPr>
                <w:rFonts w:hint="eastAsia" w:ascii="Times New Roman" w:hAnsi="Times New Roman" w:eastAsia="方正书宋_GBK" w:cs="方正书宋_GBK"/>
              </w:rPr>
              <w:t>正厅级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p>
        </w:tc>
        <w:tc>
          <w:tcPr>
            <w:tcW w:w="1134" w:type="dxa"/>
            <w:vAlign w:val="center"/>
          </w:tcPr>
          <w:p>
            <w:pPr>
              <w:spacing w:line="300" w:lineRule="exact"/>
              <w:jc w:val="left"/>
              <w:rPr>
                <w:rFonts w:ascii="Times New Roman" w:hAnsi="Times New Roman" w:eastAsia="方正书宋_GBK" w:cs="Times New Roman"/>
              </w:rPr>
            </w:pPr>
          </w:p>
        </w:tc>
        <w:tc>
          <w:tcPr>
            <w:tcW w:w="1276" w:type="dxa"/>
            <w:vAlign w:val="center"/>
          </w:tcPr>
          <w:p>
            <w:pPr>
              <w:spacing w:line="300" w:lineRule="exact"/>
              <w:jc w:val="left"/>
              <w:rPr>
                <w:rFonts w:ascii="Times New Roman" w:hAnsi="Times New Roman" w:eastAsia="方正书宋_GBK" w:cs="Times New Roman"/>
              </w:rPr>
            </w:pPr>
          </w:p>
        </w:tc>
        <w:tc>
          <w:tcPr>
            <w:tcW w:w="2902" w:type="dxa"/>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p>
        </w:tc>
        <w:tc>
          <w:tcPr>
            <w:tcW w:w="1134" w:type="dxa"/>
            <w:vAlign w:val="center"/>
          </w:tcPr>
          <w:p>
            <w:pPr>
              <w:spacing w:line="300" w:lineRule="exact"/>
              <w:jc w:val="left"/>
              <w:rPr>
                <w:rFonts w:ascii="Times New Roman" w:hAnsi="Times New Roman" w:eastAsia="方正书宋_GBK" w:cs="Times New Roman"/>
              </w:rPr>
            </w:pPr>
          </w:p>
        </w:tc>
        <w:tc>
          <w:tcPr>
            <w:tcW w:w="1276" w:type="dxa"/>
            <w:vAlign w:val="center"/>
          </w:tcPr>
          <w:p>
            <w:pPr>
              <w:spacing w:line="300" w:lineRule="exact"/>
              <w:jc w:val="left"/>
              <w:rPr>
                <w:rFonts w:ascii="Times New Roman" w:hAnsi="Times New Roman" w:eastAsia="方正书宋_GBK" w:cs="Times New Roman"/>
              </w:rPr>
            </w:pPr>
          </w:p>
        </w:tc>
        <w:tc>
          <w:tcPr>
            <w:tcW w:w="2902" w:type="dxa"/>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p>
        </w:tc>
        <w:tc>
          <w:tcPr>
            <w:tcW w:w="1134" w:type="dxa"/>
            <w:vAlign w:val="center"/>
          </w:tcPr>
          <w:p>
            <w:pPr>
              <w:spacing w:line="300" w:lineRule="exact"/>
              <w:jc w:val="left"/>
              <w:rPr>
                <w:rFonts w:ascii="Times New Roman" w:hAnsi="Times New Roman" w:eastAsia="方正书宋_GBK" w:cs="Times New Roman"/>
              </w:rPr>
            </w:pPr>
          </w:p>
        </w:tc>
        <w:tc>
          <w:tcPr>
            <w:tcW w:w="1276" w:type="dxa"/>
            <w:vAlign w:val="center"/>
          </w:tcPr>
          <w:p>
            <w:pPr>
              <w:spacing w:line="300" w:lineRule="exact"/>
              <w:jc w:val="left"/>
              <w:rPr>
                <w:rFonts w:ascii="Times New Roman" w:hAnsi="Times New Roman" w:eastAsia="方正书宋_GBK" w:cs="Times New Roman"/>
              </w:rPr>
            </w:pPr>
          </w:p>
        </w:tc>
        <w:tc>
          <w:tcPr>
            <w:tcW w:w="2902" w:type="dxa"/>
            <w:vAlign w:val="center"/>
          </w:tcPr>
          <w:p>
            <w:pPr>
              <w:spacing w:line="300" w:lineRule="exact"/>
              <w:jc w:val="left"/>
              <w:rPr>
                <w:rFonts w:ascii="Times New Roman" w:hAnsi="Times New Roman"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p>
        </w:tc>
        <w:tc>
          <w:tcPr>
            <w:tcW w:w="1134" w:type="dxa"/>
            <w:vAlign w:val="center"/>
          </w:tcPr>
          <w:p>
            <w:pPr>
              <w:spacing w:line="300" w:lineRule="exact"/>
              <w:jc w:val="left"/>
              <w:rPr>
                <w:rFonts w:ascii="Times New Roman" w:hAnsi="Times New Roman" w:eastAsia="方正书宋_GBK" w:cs="Times New Roman"/>
              </w:rPr>
            </w:pPr>
          </w:p>
        </w:tc>
        <w:tc>
          <w:tcPr>
            <w:tcW w:w="1276" w:type="dxa"/>
            <w:vAlign w:val="center"/>
          </w:tcPr>
          <w:p>
            <w:pPr>
              <w:spacing w:line="300" w:lineRule="exact"/>
              <w:jc w:val="left"/>
              <w:rPr>
                <w:rFonts w:ascii="Times New Roman" w:hAnsi="Times New Roman" w:eastAsia="方正书宋_GBK" w:cs="Times New Roman"/>
              </w:rPr>
            </w:pPr>
          </w:p>
        </w:tc>
        <w:tc>
          <w:tcPr>
            <w:tcW w:w="2902" w:type="dxa"/>
            <w:vAlign w:val="center"/>
          </w:tcPr>
          <w:p>
            <w:pPr>
              <w:spacing w:line="300" w:lineRule="exact"/>
              <w:jc w:val="left"/>
              <w:rPr>
                <w:rFonts w:ascii="Times New Roman" w:hAnsi="Times New Roman" w:eastAsia="方正书宋_GBK" w:cs="Times New Roman"/>
              </w:rPr>
            </w:pPr>
          </w:p>
        </w:tc>
      </w:tr>
    </w:tbl>
    <w:p>
      <w:pPr>
        <w:rPr>
          <w:rFonts w:cs="Times New Roman"/>
        </w:rPr>
      </w:pPr>
    </w:p>
    <w:p>
      <w:pPr>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pPr>
        <w:ind w:firstLine="640"/>
        <w:rPr>
          <w:rFonts w:ascii="仿宋" w:hAnsi="仿宋" w:eastAsia="仿宋" w:cs="Times New Roman"/>
          <w:sz w:val="32"/>
          <w:szCs w:val="32"/>
        </w:rPr>
      </w:pPr>
      <w:r>
        <w:rPr>
          <w:rFonts w:hint="eastAsia" w:ascii="仿宋" w:hAnsi="仿宋" w:eastAsia="仿宋" w:cs="仿宋"/>
          <w:sz w:val="32"/>
          <w:szCs w:val="32"/>
        </w:rPr>
        <w:t>按照预算管理有关规定，目前我省部门预算的编制实行综合预算制度，即全部收入和支出都反映在预算中。中共河北省纪委机关及所属事业单位的收支包含在部门预算中。</w:t>
      </w:r>
    </w:p>
    <w:p>
      <w:pPr>
        <w:ind w:firstLine="64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、收入说明</w:t>
      </w:r>
    </w:p>
    <w:p>
      <w:pPr>
        <w:ind w:firstLine="640"/>
        <w:rPr>
          <w:rFonts w:ascii="仿宋" w:hAnsi="仿宋" w:eastAsia="仿宋" w:cs="Times New Roman"/>
          <w:sz w:val="32"/>
          <w:szCs w:val="32"/>
        </w:rPr>
      </w:pPr>
      <w:r>
        <w:rPr>
          <w:rFonts w:hint="eastAsia" w:ascii="仿宋" w:hAnsi="仿宋" w:eastAsia="仿宋" w:cs="仿宋"/>
          <w:sz w:val="32"/>
          <w:szCs w:val="32"/>
        </w:rPr>
        <w:t>反映本部门当年全部收入。</w:t>
      </w:r>
      <w:r>
        <w:rPr>
          <w:rFonts w:ascii="仿宋" w:hAnsi="仿宋" w:eastAsia="仿宋" w:cs="仿宋"/>
          <w:sz w:val="32"/>
          <w:szCs w:val="32"/>
        </w:rPr>
        <w:t>2018</w:t>
      </w:r>
      <w:r>
        <w:rPr>
          <w:rFonts w:hint="eastAsia" w:ascii="仿宋" w:hAnsi="仿宋" w:eastAsia="仿宋" w:cs="仿宋"/>
          <w:sz w:val="32"/>
          <w:szCs w:val="32"/>
        </w:rPr>
        <w:t>年预算收入</w:t>
      </w:r>
      <w:r>
        <w:rPr>
          <w:rFonts w:ascii="仿宋" w:hAnsi="仿宋" w:eastAsia="仿宋" w:cs="仿宋"/>
          <w:sz w:val="32"/>
          <w:szCs w:val="32"/>
        </w:rPr>
        <w:t>11729.43</w:t>
      </w:r>
      <w:r>
        <w:rPr>
          <w:rFonts w:hint="eastAsia" w:ascii="仿宋" w:hAnsi="仿宋" w:eastAsia="仿宋" w:cs="仿宋"/>
          <w:sz w:val="32"/>
          <w:szCs w:val="32"/>
        </w:rPr>
        <w:t>万元，其中：一般公共预算收入</w:t>
      </w:r>
      <w:r>
        <w:rPr>
          <w:rFonts w:ascii="仿宋" w:hAnsi="仿宋" w:eastAsia="仿宋" w:cs="仿宋"/>
          <w:sz w:val="32"/>
          <w:szCs w:val="32"/>
        </w:rPr>
        <w:t>11729.43</w:t>
      </w:r>
      <w:r>
        <w:rPr>
          <w:rFonts w:hint="eastAsia" w:ascii="仿宋" w:hAnsi="仿宋" w:eastAsia="仿宋" w:cs="仿宋"/>
          <w:sz w:val="32"/>
          <w:szCs w:val="32"/>
        </w:rPr>
        <w:t>万元，基金预算收入</w:t>
      </w:r>
      <w:r>
        <w:rPr>
          <w:rFonts w:ascii="仿宋" w:hAnsi="仿宋" w:eastAsia="仿宋" w:cs="仿宋"/>
          <w:sz w:val="32"/>
          <w:szCs w:val="32"/>
        </w:rPr>
        <w:t>0</w:t>
      </w:r>
      <w:r>
        <w:rPr>
          <w:rFonts w:hint="eastAsia" w:ascii="仿宋" w:hAnsi="仿宋" w:eastAsia="仿宋" w:cs="仿宋"/>
          <w:sz w:val="32"/>
          <w:szCs w:val="32"/>
        </w:rPr>
        <w:t>万元，财政专户核拨收入</w:t>
      </w:r>
      <w:r>
        <w:rPr>
          <w:rFonts w:ascii="仿宋" w:hAnsi="仿宋" w:eastAsia="仿宋" w:cs="仿宋"/>
          <w:sz w:val="32"/>
          <w:szCs w:val="32"/>
        </w:rPr>
        <w:t>0</w:t>
      </w:r>
      <w:r>
        <w:rPr>
          <w:rFonts w:hint="eastAsia" w:ascii="仿宋" w:hAnsi="仿宋" w:eastAsia="仿宋" w:cs="仿宋"/>
          <w:sz w:val="32"/>
          <w:szCs w:val="32"/>
        </w:rPr>
        <w:t>万元，其他来源收入</w:t>
      </w:r>
      <w:r>
        <w:rPr>
          <w:rFonts w:ascii="仿宋" w:hAnsi="仿宋" w:eastAsia="仿宋" w:cs="仿宋"/>
          <w:sz w:val="32"/>
          <w:szCs w:val="32"/>
        </w:rPr>
        <w:t>0</w:t>
      </w:r>
      <w:r>
        <w:rPr>
          <w:rFonts w:hint="eastAsia" w:ascii="仿宋" w:hAnsi="仿宋" w:eastAsia="仿宋" w:cs="仿宋"/>
          <w:sz w:val="32"/>
          <w:szCs w:val="32"/>
        </w:rPr>
        <w:t>万元。</w:t>
      </w:r>
    </w:p>
    <w:p>
      <w:pPr>
        <w:ind w:firstLine="64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、支出说明</w:t>
      </w:r>
    </w:p>
    <w:p>
      <w:pPr>
        <w:ind w:firstLine="640"/>
        <w:rPr>
          <w:rFonts w:ascii="仿宋" w:hAnsi="仿宋" w:eastAsia="仿宋" w:cs="Times New Roman"/>
          <w:sz w:val="32"/>
          <w:szCs w:val="32"/>
        </w:rPr>
      </w:pPr>
      <w:r>
        <w:rPr>
          <w:rFonts w:hint="eastAsia" w:ascii="仿宋" w:hAnsi="仿宋" w:eastAsia="仿宋" w:cs="仿宋"/>
          <w:sz w:val="32"/>
          <w:szCs w:val="32"/>
        </w:rPr>
        <w:t>收支预算总表支出栏、基本支出表、项目支出表按经济分类和支出功能分类科目编制，反映中共河北省纪委部门年度部门预算中支出预算的总体情况。</w:t>
      </w:r>
      <w:r>
        <w:rPr>
          <w:rFonts w:ascii="仿宋" w:hAnsi="仿宋" w:eastAsia="仿宋" w:cs="仿宋"/>
          <w:sz w:val="32"/>
          <w:szCs w:val="32"/>
        </w:rPr>
        <w:t>2018</w:t>
      </w:r>
      <w:r>
        <w:rPr>
          <w:rFonts w:hint="eastAsia" w:ascii="仿宋" w:hAnsi="仿宋" w:eastAsia="仿宋" w:cs="仿宋"/>
          <w:sz w:val="32"/>
          <w:szCs w:val="32"/>
        </w:rPr>
        <w:t>年支出预算</w:t>
      </w:r>
      <w:r>
        <w:rPr>
          <w:rFonts w:ascii="仿宋" w:hAnsi="仿宋" w:eastAsia="仿宋" w:cs="仿宋"/>
          <w:sz w:val="32"/>
          <w:szCs w:val="32"/>
        </w:rPr>
        <w:t>11729.43</w:t>
      </w:r>
      <w:r>
        <w:rPr>
          <w:rFonts w:hint="eastAsia" w:ascii="仿宋" w:hAnsi="仿宋" w:eastAsia="仿宋" w:cs="仿宋"/>
          <w:sz w:val="32"/>
          <w:szCs w:val="32"/>
        </w:rPr>
        <w:t>万元，</w:t>
      </w:r>
      <w:r>
        <w:rPr>
          <w:rFonts w:hint="eastAsia" w:ascii="仿宋" w:hAnsi="仿宋" w:eastAsia="仿宋" w:cs="仿宋"/>
          <w:b/>
          <w:bCs/>
          <w:sz w:val="32"/>
          <w:szCs w:val="32"/>
        </w:rPr>
        <w:t>其中基本支出</w:t>
      </w:r>
      <w:r>
        <w:rPr>
          <w:rFonts w:ascii="仿宋" w:hAnsi="仿宋" w:eastAsia="仿宋" w:cs="仿宋"/>
          <w:b/>
          <w:bCs/>
          <w:sz w:val="32"/>
          <w:szCs w:val="32"/>
        </w:rPr>
        <w:t>11229.43</w:t>
      </w:r>
      <w:r>
        <w:rPr>
          <w:rFonts w:hint="eastAsia" w:ascii="仿宋" w:hAnsi="仿宋" w:eastAsia="仿宋" w:cs="仿宋"/>
          <w:b/>
          <w:bCs/>
          <w:sz w:val="32"/>
          <w:szCs w:val="32"/>
        </w:rPr>
        <w:t>万元，包括人员经费</w:t>
      </w:r>
      <w:r>
        <w:rPr>
          <w:rFonts w:ascii="仿宋" w:hAnsi="仿宋" w:eastAsia="仿宋" w:cs="仿宋"/>
          <w:b/>
          <w:bCs/>
          <w:sz w:val="32"/>
          <w:szCs w:val="32"/>
        </w:rPr>
        <w:t>9352.69</w:t>
      </w:r>
      <w:r>
        <w:rPr>
          <w:rFonts w:hint="eastAsia" w:ascii="仿宋" w:hAnsi="仿宋" w:eastAsia="仿宋" w:cs="仿宋"/>
          <w:b/>
          <w:bCs/>
          <w:sz w:val="32"/>
          <w:szCs w:val="32"/>
        </w:rPr>
        <w:t>万元和日常公用经费</w:t>
      </w:r>
      <w:r>
        <w:rPr>
          <w:rFonts w:ascii="仿宋" w:hAnsi="仿宋" w:eastAsia="仿宋" w:cs="仿宋"/>
          <w:b/>
          <w:bCs/>
          <w:sz w:val="32"/>
          <w:szCs w:val="32"/>
        </w:rPr>
        <w:t>1946.74</w:t>
      </w:r>
      <w:r>
        <w:rPr>
          <w:rFonts w:hint="eastAsia" w:ascii="仿宋" w:hAnsi="仿宋" w:eastAsia="仿宋" w:cs="仿宋"/>
          <w:b/>
          <w:bCs/>
          <w:sz w:val="32"/>
          <w:szCs w:val="32"/>
        </w:rPr>
        <w:t>万元</w:t>
      </w:r>
      <w:r>
        <w:rPr>
          <w:rFonts w:hint="eastAsia" w:ascii="仿宋" w:hAnsi="仿宋" w:eastAsia="仿宋" w:cs="仿宋"/>
          <w:sz w:val="32"/>
          <w:szCs w:val="32"/>
        </w:rPr>
        <w:t>；项目支出</w:t>
      </w:r>
      <w:r>
        <w:rPr>
          <w:rFonts w:ascii="仿宋" w:hAnsi="仿宋" w:eastAsia="仿宋" w:cs="仿宋"/>
          <w:sz w:val="32"/>
          <w:szCs w:val="32"/>
        </w:rPr>
        <w:t>430</w:t>
      </w:r>
      <w:r>
        <w:rPr>
          <w:rFonts w:hint="eastAsia" w:ascii="仿宋" w:hAnsi="仿宋" w:eastAsia="仿宋" w:cs="仿宋"/>
          <w:sz w:val="32"/>
          <w:szCs w:val="32"/>
        </w:rPr>
        <w:t>万元，主要为各专项办公室工作经费等。</w:t>
      </w:r>
    </w:p>
    <w:p>
      <w:pPr>
        <w:ind w:firstLine="64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、比上年增减情况</w:t>
      </w:r>
    </w:p>
    <w:p>
      <w:pPr>
        <w:ind w:firstLine="640"/>
        <w:rPr>
          <w:rFonts w:ascii="仿宋" w:hAnsi="仿宋" w:eastAsia="仿宋" w:cs="Times New Roman"/>
          <w:sz w:val="32"/>
          <w:szCs w:val="32"/>
        </w:rPr>
      </w:pPr>
      <w:r>
        <w:rPr>
          <w:rFonts w:ascii="仿宋" w:hAnsi="仿宋" w:eastAsia="仿宋" w:cs="仿宋"/>
          <w:sz w:val="32"/>
          <w:szCs w:val="32"/>
        </w:rPr>
        <w:t>2018</w:t>
      </w:r>
      <w:r>
        <w:rPr>
          <w:rFonts w:hint="eastAsia" w:ascii="仿宋" w:hAnsi="仿宋" w:eastAsia="仿宋" w:cs="仿宋"/>
          <w:sz w:val="32"/>
          <w:szCs w:val="32"/>
        </w:rPr>
        <w:t>年预算收支安排</w:t>
      </w:r>
      <w:r>
        <w:rPr>
          <w:rFonts w:ascii="仿宋" w:hAnsi="仿宋" w:eastAsia="仿宋" w:cs="仿宋"/>
          <w:sz w:val="32"/>
          <w:szCs w:val="32"/>
        </w:rPr>
        <w:t>11729.43</w:t>
      </w:r>
      <w:r>
        <w:rPr>
          <w:rFonts w:hint="eastAsia" w:ascii="仿宋" w:hAnsi="仿宋" w:eastAsia="仿宋" w:cs="仿宋"/>
          <w:sz w:val="32"/>
          <w:szCs w:val="32"/>
        </w:rPr>
        <w:t>万元，较</w:t>
      </w:r>
      <w:r>
        <w:rPr>
          <w:rFonts w:ascii="仿宋" w:hAnsi="仿宋" w:eastAsia="仿宋" w:cs="仿宋"/>
          <w:sz w:val="32"/>
          <w:szCs w:val="32"/>
        </w:rPr>
        <w:t>2017</w:t>
      </w:r>
      <w:r>
        <w:rPr>
          <w:rFonts w:hint="eastAsia" w:ascii="仿宋" w:hAnsi="仿宋" w:eastAsia="仿宋" w:cs="仿宋"/>
          <w:sz w:val="32"/>
          <w:szCs w:val="32"/>
        </w:rPr>
        <w:t>年预算增加</w:t>
      </w:r>
      <w:r>
        <w:rPr>
          <w:rFonts w:ascii="仿宋" w:hAnsi="仿宋" w:eastAsia="仿宋" w:cs="仿宋"/>
          <w:sz w:val="32"/>
          <w:szCs w:val="32"/>
        </w:rPr>
        <w:t>2280.95</w:t>
      </w:r>
      <w:r>
        <w:rPr>
          <w:rFonts w:hint="eastAsia" w:ascii="仿宋" w:hAnsi="仿宋" w:eastAsia="仿宋" w:cs="仿宋"/>
          <w:sz w:val="32"/>
          <w:szCs w:val="32"/>
        </w:rPr>
        <w:t>万元，其中：基本支出增加</w:t>
      </w:r>
      <w:r>
        <w:rPr>
          <w:rFonts w:ascii="仿宋" w:hAnsi="仿宋" w:eastAsia="仿宋" w:cs="仿宋"/>
          <w:sz w:val="32"/>
          <w:szCs w:val="32"/>
        </w:rPr>
        <w:t>2280.95</w:t>
      </w:r>
      <w:r>
        <w:rPr>
          <w:rFonts w:hint="eastAsia" w:ascii="仿宋" w:hAnsi="仿宋" w:eastAsia="仿宋" w:cs="仿宋"/>
          <w:sz w:val="32"/>
          <w:szCs w:val="32"/>
        </w:rPr>
        <w:t>万元，主要为增加人员经费支出；项目支出无变化。</w:t>
      </w:r>
    </w:p>
    <w:p>
      <w:pPr>
        <w:autoSpaceDE w:val="0"/>
        <w:autoSpaceDN w:val="0"/>
        <w:adjustRightInd w:val="0"/>
        <w:ind w:left="198" w:firstLine="3168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autoSpaceDE w:val="0"/>
        <w:autoSpaceDN w:val="0"/>
        <w:adjustRightInd w:val="0"/>
        <w:ind w:left="198" w:firstLine="31680" w:firstLineChars="200"/>
        <w:jc w:val="left"/>
        <w:rPr>
          <w:rFonts w:ascii="仿宋" w:hAnsi="仿宋" w:eastAsia="仿宋" w:cs="Times New Roman"/>
          <w:sz w:val="32"/>
          <w:szCs w:val="32"/>
        </w:rPr>
      </w:pPr>
      <w:r>
        <w:rPr>
          <w:rFonts w:ascii="仿宋" w:hAnsi="仿宋" w:eastAsia="仿宋" w:cs="仿宋"/>
          <w:sz w:val="32"/>
          <w:szCs w:val="32"/>
        </w:rPr>
        <w:t>2018</w:t>
      </w:r>
      <w:r>
        <w:rPr>
          <w:rFonts w:hint="eastAsia" w:ascii="仿宋" w:hAnsi="仿宋" w:eastAsia="仿宋" w:cs="仿宋"/>
          <w:sz w:val="32"/>
          <w:szCs w:val="32"/>
        </w:rPr>
        <w:t>年，我委机关运行经费共计安排</w:t>
      </w:r>
      <w:r>
        <w:rPr>
          <w:rFonts w:ascii="仿宋" w:hAnsi="仿宋" w:eastAsia="仿宋" w:cs="仿宋"/>
          <w:sz w:val="32"/>
          <w:szCs w:val="32"/>
        </w:rPr>
        <w:t>1946.74</w:t>
      </w:r>
      <w:r>
        <w:rPr>
          <w:rFonts w:hint="eastAsia" w:ascii="仿宋" w:hAnsi="仿宋" w:eastAsia="仿宋" w:cs="仿宋"/>
          <w:sz w:val="32"/>
          <w:szCs w:val="32"/>
        </w:rPr>
        <w:t>万元，主要用于办公费、印刷费、水费、电费、邮电费、取暖费、物业管理费、差旅费、劳务费、维修费、公车运行费等日常运行支出。</w:t>
      </w:r>
    </w:p>
    <w:p>
      <w:pPr>
        <w:autoSpaceDE w:val="0"/>
        <w:autoSpaceDN w:val="0"/>
        <w:adjustRightInd w:val="0"/>
        <w:ind w:left="198" w:firstLine="3168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autoSpaceDE w:val="0"/>
        <w:autoSpaceDN w:val="0"/>
        <w:adjustRightInd w:val="0"/>
        <w:ind w:left="198" w:firstLine="31680" w:firstLineChars="200"/>
        <w:jc w:val="left"/>
        <w:rPr>
          <w:rFonts w:ascii="仿宋" w:hAnsi="仿宋" w:eastAsia="仿宋" w:cs="Times New Roman"/>
          <w:color w:val="FF0000"/>
          <w:sz w:val="32"/>
          <w:szCs w:val="32"/>
        </w:rPr>
      </w:pPr>
      <w:r>
        <w:rPr>
          <w:rFonts w:ascii="仿宋" w:hAnsi="仿宋" w:eastAsia="仿宋" w:cs="仿宋"/>
          <w:sz w:val="32"/>
          <w:szCs w:val="32"/>
        </w:rPr>
        <w:t>2018</w:t>
      </w:r>
      <w:r>
        <w:rPr>
          <w:rFonts w:hint="eastAsia" w:ascii="仿宋" w:hAnsi="仿宋" w:eastAsia="仿宋" w:cs="仿宋"/>
          <w:sz w:val="32"/>
          <w:szCs w:val="32"/>
        </w:rPr>
        <w:t>年，我委财政拨款“三公”经费预算安排</w:t>
      </w:r>
      <w:r>
        <w:rPr>
          <w:rFonts w:ascii="仿宋" w:hAnsi="仿宋" w:eastAsia="仿宋" w:cs="仿宋"/>
          <w:sz w:val="32"/>
          <w:szCs w:val="32"/>
        </w:rPr>
        <w:t>394.1</w:t>
      </w:r>
      <w:r>
        <w:rPr>
          <w:rFonts w:hint="eastAsia" w:ascii="仿宋" w:hAnsi="仿宋" w:eastAsia="仿宋" w:cs="仿宋"/>
          <w:sz w:val="32"/>
          <w:szCs w:val="32"/>
        </w:rPr>
        <w:t>万元，其中因公出国（境）费</w:t>
      </w:r>
      <w:r>
        <w:rPr>
          <w:rFonts w:ascii="仿宋" w:hAnsi="仿宋" w:eastAsia="仿宋" w:cs="仿宋"/>
          <w:sz w:val="32"/>
          <w:szCs w:val="32"/>
        </w:rPr>
        <w:t>30.7</w:t>
      </w:r>
      <w:r>
        <w:rPr>
          <w:rFonts w:hint="eastAsia" w:ascii="仿宋" w:hAnsi="仿宋" w:eastAsia="仿宋" w:cs="仿宋"/>
          <w:sz w:val="32"/>
          <w:szCs w:val="32"/>
        </w:rPr>
        <w:t>万元；公务用车购置及运维费</w:t>
      </w:r>
      <w:r>
        <w:rPr>
          <w:rFonts w:ascii="仿宋" w:hAnsi="仿宋" w:eastAsia="仿宋" w:cs="仿宋"/>
          <w:sz w:val="32"/>
          <w:szCs w:val="32"/>
        </w:rPr>
        <w:t>353</w:t>
      </w:r>
      <w:r>
        <w:rPr>
          <w:rFonts w:hint="eastAsia" w:ascii="仿宋" w:hAnsi="仿宋" w:eastAsia="仿宋" w:cs="仿宋"/>
          <w:sz w:val="32"/>
          <w:szCs w:val="32"/>
        </w:rPr>
        <w:t>万元（其中：公务用车购置费为</w:t>
      </w:r>
      <w:r>
        <w:rPr>
          <w:rFonts w:ascii="仿宋" w:hAnsi="仿宋" w:eastAsia="仿宋" w:cs="仿宋"/>
          <w:sz w:val="32"/>
          <w:szCs w:val="32"/>
        </w:rPr>
        <w:t>0</w:t>
      </w:r>
      <w:r>
        <w:rPr>
          <w:rFonts w:hint="eastAsia" w:ascii="仿宋" w:hAnsi="仿宋" w:eastAsia="仿宋" w:cs="仿宋"/>
          <w:sz w:val="32"/>
          <w:szCs w:val="32"/>
        </w:rPr>
        <w:t>万元，公务用车运维费</w:t>
      </w:r>
      <w:r>
        <w:rPr>
          <w:rFonts w:ascii="仿宋" w:hAnsi="仿宋" w:eastAsia="仿宋" w:cs="仿宋"/>
          <w:sz w:val="32"/>
          <w:szCs w:val="32"/>
        </w:rPr>
        <w:t>353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；公务接待费</w:t>
      </w:r>
      <w:r>
        <w:rPr>
          <w:rFonts w:ascii="仿宋" w:hAnsi="仿宋" w:eastAsia="仿宋" w:cs="仿宋"/>
          <w:sz w:val="32"/>
          <w:szCs w:val="32"/>
        </w:rPr>
        <w:t>10.4</w:t>
      </w:r>
      <w:r>
        <w:rPr>
          <w:rFonts w:hint="eastAsia" w:ascii="仿宋" w:hAnsi="仿宋" w:eastAsia="仿宋" w:cs="仿宋"/>
          <w:sz w:val="32"/>
          <w:szCs w:val="32"/>
        </w:rPr>
        <w:t>万元。与</w:t>
      </w:r>
      <w:r>
        <w:rPr>
          <w:rFonts w:ascii="仿宋" w:hAnsi="仿宋" w:eastAsia="仿宋" w:cs="仿宋"/>
          <w:sz w:val="32"/>
          <w:szCs w:val="32"/>
        </w:rPr>
        <w:t>2017</w:t>
      </w:r>
      <w:r>
        <w:rPr>
          <w:rFonts w:hint="eastAsia" w:ascii="仿宋" w:hAnsi="仿宋" w:eastAsia="仿宋" w:cs="仿宋"/>
          <w:sz w:val="32"/>
          <w:szCs w:val="32"/>
        </w:rPr>
        <w:t>年相比持平，无增减变化。</w:t>
      </w:r>
    </w:p>
    <w:p>
      <w:pPr>
        <w:ind w:firstLine="640"/>
        <w:rPr>
          <w:rFonts w:ascii="黑体" w:hAnsi="黑体" w:eastAsia="黑体" w:cs="Times New Roman"/>
          <w:sz w:val="32"/>
          <w:szCs w:val="32"/>
        </w:rPr>
      </w:pPr>
      <w:r>
        <w:rPr>
          <w:rFonts w:hint="eastAsia" w:ascii="黑体" w:hAnsi="黑体" w:eastAsia="黑体" w:cs="黑体"/>
          <w:sz w:val="32"/>
          <w:szCs w:val="32"/>
        </w:rPr>
        <w:t>五、绩效预算信息</w:t>
      </w:r>
    </w:p>
    <w:p>
      <w:pPr>
        <w:adjustRightInd w:val="0"/>
        <w:snapToGrid w:val="0"/>
        <w:spacing w:line="500" w:lineRule="exact"/>
        <w:ind w:firstLine="31680" w:firstLineChars="200"/>
        <w:jc w:val="left"/>
        <w:rPr>
          <w:rFonts w:ascii="Times New Roman" w:hAnsi="Times New Roman" w:eastAsia="方正楷体_GBK" w:cs="Times New Roman"/>
          <w:b/>
          <w:bCs/>
          <w:sz w:val="28"/>
          <w:szCs w:val="28"/>
        </w:rPr>
      </w:pPr>
      <w:r>
        <w:rPr>
          <w:rFonts w:hint="eastAsia" w:ascii="Times New Roman" w:hAnsi="Times New Roman" w:eastAsia="方正楷体_GBK" w:cs="方正楷体_GBK"/>
          <w:b/>
          <w:bCs/>
          <w:sz w:val="28"/>
          <w:szCs w:val="28"/>
        </w:rPr>
        <w:t>总体目标：</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深入学习贯彻党的十九大精神，紧密团结在以习近平同志为核心的党中央周围，坚持以习近平新时代</w:t>
      </w:r>
      <w:bookmarkStart w:id="0" w:name="_GoBack"/>
      <w:bookmarkEnd w:id="0"/>
      <w:r>
        <w:rPr>
          <w:rFonts w:hint="eastAsia" w:ascii="仿宋" w:hAnsi="仿宋" w:eastAsia="仿宋" w:cs="仿宋"/>
          <w:sz w:val="32"/>
          <w:szCs w:val="32"/>
        </w:rPr>
        <w:t>中国特色社会主义思想为统领，自觉践行“四个意识”，牢固树立“四个自信”，不忘初心、牢记使命，着力加强监督检查，持之以恒正风肃纪，深化运用“四种形态”、把纪律和规矩挺在前面，强化监督执纪问责、始终保持反腐败高压态势，坚持标本兼治，深化“三不”机制，坚定不移推动全面从严治党、党风廉政建设和反腐败斗争向纵深发展，为落实党的十九大部署，奋力开创新时代全面建设经济强省、美丽河北新局面提供坚强政治保证。</w:t>
      </w:r>
    </w:p>
    <w:p>
      <w:pPr>
        <w:adjustRightInd w:val="0"/>
        <w:snapToGrid w:val="0"/>
        <w:spacing w:line="500" w:lineRule="exact"/>
        <w:jc w:val="left"/>
        <w:rPr>
          <w:rFonts w:ascii="Times New Roman" w:hAnsi="Times New Roman" w:eastAsia="方正楷体_GBK" w:cs="Times New Roman"/>
          <w:b/>
          <w:bCs/>
          <w:sz w:val="28"/>
          <w:szCs w:val="28"/>
        </w:rPr>
      </w:pPr>
      <w:r>
        <w:rPr>
          <w:rFonts w:hint="eastAsia" w:ascii="Times New Roman" w:hAnsi="Times New Roman" w:eastAsia="方正楷体_GBK" w:cs="方正楷体_GBK"/>
          <w:b/>
          <w:bCs/>
          <w:sz w:val="28"/>
          <w:szCs w:val="28"/>
        </w:rPr>
        <w:t>职责分类绩效目标：</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（一）办案问责方面。维护党纪国法尊严，坚决惩处腐败分子，有效遏制腐败现象。</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（二）监督检查及巡视督查方面。加大问责力度，促进“两个责任”有效落实；巡视监督常态化、全覆盖。</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（三）党风廉政建设方面。积极发挥职能作用，加强党风廉政建设，营造风清气正、干事创业的工作氛围。</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（四）纪检监察事务管理方面。持续深化“三转”，做好“监督执纪问责”主业的保障和服务工作。</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（五）派驻纪检监察机构管理方面。加强全省纪检监察系统领导班子、干部队伍和组织建设，打造一支高素质、高水平的纪检监察干部队伍。</w:t>
      </w:r>
    </w:p>
    <w:p>
      <w:pPr>
        <w:autoSpaceDE w:val="0"/>
        <w:autoSpaceDN w:val="0"/>
        <w:adjustRightInd w:val="0"/>
        <w:ind w:firstLine="3168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pPr>
        <w:adjustRightInd w:val="0"/>
        <w:snapToGrid w:val="0"/>
        <w:spacing w:line="580" w:lineRule="exact"/>
        <w:ind w:firstLine="561"/>
        <w:rPr>
          <w:rFonts w:ascii="仿宋" w:hAnsi="仿宋" w:eastAsia="仿宋" w:cs="Times New Roman"/>
          <w:sz w:val="32"/>
          <w:szCs w:val="32"/>
        </w:rPr>
      </w:pPr>
      <w:r>
        <w:rPr>
          <w:rFonts w:ascii="仿宋" w:hAnsi="仿宋" w:eastAsia="仿宋" w:cs="仿宋"/>
          <w:sz w:val="32"/>
          <w:szCs w:val="32"/>
        </w:rPr>
        <w:t>2018</w:t>
      </w:r>
      <w:r>
        <w:rPr>
          <w:rFonts w:hint="eastAsia" w:ascii="仿宋" w:hAnsi="仿宋" w:eastAsia="仿宋" w:cs="仿宋"/>
          <w:sz w:val="32"/>
          <w:szCs w:val="32"/>
        </w:rPr>
        <w:t>年，我部门没有安排政府采购预算。</w:t>
      </w:r>
    </w:p>
    <w:p>
      <w:pPr>
        <w:autoSpaceDE w:val="0"/>
        <w:autoSpaceDN w:val="0"/>
        <w:adjustRightInd w:val="0"/>
        <w:ind w:firstLine="3168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tbl>
      <w:tblPr>
        <w:tblStyle w:val="8"/>
        <w:tblpPr w:leftFromText="180" w:rightFromText="180" w:vertAnchor="text" w:horzAnchor="page" w:tblpX="1448" w:tblpY="1359"/>
        <w:tblOverlap w:val="never"/>
        <w:tblW w:w="13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224"/>
        <w:gridCol w:w="3155"/>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71" w:hRule="atLeast"/>
        </w:trPr>
        <w:tc>
          <w:tcPr>
            <w:tcW w:w="13482" w:type="dxa"/>
            <w:gridSpan w:val="3"/>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河北省省直部门固定资产占用情况表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宋体" w:cs="Times New Roman"/>
                <w:kern w:val="0"/>
                <w:sz w:val="22"/>
                <w:szCs w:val="22"/>
              </w:rPr>
            </w:pPr>
            <w:r>
              <w:rPr>
                <w:rFonts w:hint="eastAsia" w:ascii="宋体" w:hAnsi="宋体" w:cs="宋体"/>
                <w:kern w:val="0"/>
                <w:sz w:val="22"/>
                <w:szCs w:val="22"/>
              </w:rPr>
              <w:t>编制部门：中共河北省纪委</w:t>
            </w:r>
          </w:p>
        </w:tc>
        <w:tc>
          <w:tcPr>
            <w:tcW w:w="5103" w:type="dxa"/>
            <w:tcBorders>
              <w:top w:val="nil"/>
              <w:left w:val="nil"/>
              <w:bottom w:val="nil"/>
              <w:right w:val="nil"/>
            </w:tcBorders>
            <w:vAlign w:val="center"/>
          </w:tcPr>
          <w:p>
            <w:pPr>
              <w:widowControl/>
              <w:jc w:val="left"/>
              <w:rPr>
                <w:rFonts w:ascii="宋体" w:cs="Times New Roman"/>
                <w:kern w:val="0"/>
                <w:sz w:val="22"/>
                <w:szCs w:val="22"/>
              </w:rPr>
            </w:pPr>
            <w:r>
              <w:rPr>
                <w:rFonts w:hint="eastAsia" w:ascii="宋体" w:hAnsi="宋体" w:cs="宋体"/>
                <w:kern w:val="0"/>
                <w:sz w:val="22"/>
                <w:szCs w:val="22"/>
              </w:rPr>
              <w:t>截止时间：</w:t>
            </w:r>
            <w:r>
              <w:rPr>
                <w:rFonts w:ascii="宋体" w:hAnsi="宋体" w:cs="宋体"/>
                <w:kern w:val="0"/>
                <w:sz w:val="22"/>
                <w:szCs w:val="22"/>
              </w:rPr>
              <w:t>2017</w:t>
            </w:r>
            <w:r>
              <w:rPr>
                <w:rFonts w:hint="eastAsia" w:ascii="宋体" w:hAnsi="宋体" w:cs="宋体"/>
                <w:kern w:val="0"/>
                <w:sz w:val="22"/>
                <w:szCs w:val="22"/>
              </w:rPr>
              <w:t>年</w:t>
            </w:r>
            <w:r>
              <w:rPr>
                <w:rFonts w:ascii="宋体" w:hAnsi="宋体" w:cs="宋体"/>
                <w:kern w:val="0"/>
                <w:sz w:val="22"/>
                <w:szCs w:val="22"/>
              </w:rPr>
              <w:t>12</w:t>
            </w:r>
            <w:r>
              <w:rPr>
                <w:rFonts w:hint="eastAsia" w:ascii="宋体" w:hAnsi="宋体" w:cs="宋体"/>
                <w:kern w:val="0"/>
                <w:sz w:val="22"/>
                <w:szCs w:val="22"/>
              </w:rPr>
              <w:t>月</w:t>
            </w:r>
            <w:r>
              <w:rPr>
                <w:rFonts w:ascii="宋体" w:hAnsi="宋体" w:cs="宋体"/>
                <w:kern w:val="0"/>
                <w:sz w:val="22"/>
                <w:szCs w:val="22"/>
              </w:rPr>
              <w:t>31</w:t>
            </w:r>
            <w:r>
              <w:rPr>
                <w:rFonts w:hint="eastAsia" w:ascii="宋体" w:hAnsi="宋体" w:cs="宋体"/>
                <w:kern w:val="0"/>
                <w:sz w:val="22"/>
                <w:szCs w:val="22"/>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kern w:val="0"/>
                <w:sz w:val="22"/>
                <w:szCs w:val="22"/>
              </w:rPr>
            </w:pPr>
            <w:r>
              <w:rPr>
                <w:rFonts w:hint="eastAsia" w:ascii="宋体" w:hAnsi="宋体" w:cs="宋体"/>
                <w:b/>
                <w:bCs/>
                <w:kern w:val="0"/>
                <w:sz w:val="22"/>
                <w:szCs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2"/>
                <w:szCs w:val="22"/>
              </w:rPr>
            </w:pPr>
            <w:r>
              <w:rPr>
                <w:rFonts w:hint="eastAsia" w:ascii="宋体" w:hAnsi="宋体" w:cs="宋体"/>
                <w:b/>
                <w:bCs/>
                <w:kern w:val="0"/>
                <w:sz w:val="22"/>
                <w:szCs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2"/>
                <w:szCs w:val="22"/>
              </w:rPr>
            </w:pPr>
            <w:r>
              <w:rPr>
                <w:rFonts w:hint="eastAsia" w:ascii="宋体" w:hAnsi="宋体" w:cs="宋体"/>
                <w:b/>
                <w:bCs/>
                <w:kern w:val="0"/>
                <w:sz w:val="22"/>
                <w:szCs w:val="22"/>
              </w:rPr>
              <w:t>价值（金额单位：万元）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2"/>
                <w:szCs w:val="22"/>
              </w:rPr>
            </w:pPr>
            <w:r>
              <w:rPr>
                <w:rFonts w:hint="eastAsia" w:ascii="宋体" w:hAnsi="宋体" w:cs="宋体"/>
                <w:kern w:val="0"/>
                <w:sz w:val="22"/>
                <w:szCs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hAnsi="宋体" w:cs="宋体"/>
                <w:kern w:val="0"/>
                <w:sz w:val="22"/>
                <w:szCs w:val="22"/>
              </w:rPr>
              <w:t>——</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7855.24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1</w:t>
            </w:r>
            <w:r>
              <w:rPr>
                <w:rFonts w:hint="eastAsia" w:ascii="宋体" w:hAnsi="宋体" w:cs="宋体"/>
                <w:kern w:val="0"/>
                <w:sz w:val="22"/>
                <w:szCs w:val="22"/>
              </w:rPr>
              <w:t>、房屋（平方米）</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1.42</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5892.16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hint="eastAsia" w:ascii="宋体" w:hAnsi="宋体" w:cs="宋体"/>
                <w:kern w:val="0"/>
                <w:sz w:val="22"/>
                <w:szCs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1.42</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5892.16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2</w:t>
            </w:r>
            <w:r>
              <w:rPr>
                <w:rFonts w:hint="eastAsia" w:ascii="宋体" w:hAnsi="宋体" w:cs="宋体"/>
                <w:kern w:val="0"/>
                <w:sz w:val="22"/>
                <w:szCs w:val="22"/>
              </w:rPr>
              <w:t>、车辆（台、辆）</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45</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3</w:t>
            </w:r>
            <w:r>
              <w:rPr>
                <w:rFonts w:hint="eastAsia" w:ascii="宋体" w:hAnsi="宋体" w:cs="宋体"/>
                <w:kern w:val="0"/>
                <w:sz w:val="22"/>
                <w:szCs w:val="22"/>
              </w:rPr>
              <w:t>、单价在</w:t>
            </w:r>
            <w:r>
              <w:rPr>
                <w:rFonts w:ascii="宋体" w:hAnsi="宋体" w:cs="宋体"/>
                <w:kern w:val="0"/>
                <w:sz w:val="22"/>
                <w:szCs w:val="22"/>
              </w:rPr>
              <w:t>20</w:t>
            </w:r>
            <w:r>
              <w:rPr>
                <w:rFonts w:hint="eastAsia" w:ascii="宋体" w:hAnsi="宋体" w:cs="宋体"/>
                <w:kern w:val="0"/>
                <w:sz w:val="22"/>
                <w:szCs w:val="22"/>
              </w:rPr>
              <w:t>万元以上的设备</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0</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4</w:t>
            </w:r>
            <w:r>
              <w:rPr>
                <w:rFonts w:hint="eastAsia" w:ascii="宋体" w:hAnsi="宋体" w:cs="宋体"/>
                <w:kern w:val="0"/>
                <w:sz w:val="22"/>
                <w:szCs w:val="22"/>
              </w:rPr>
              <w:t>、其他固定资产</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hAnsi="宋体" w:cs="宋体"/>
                <w:kern w:val="0"/>
                <w:sz w:val="22"/>
                <w:szCs w:val="22"/>
              </w:rPr>
              <w:t>——</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cs="宋体"/>
                <w:kern w:val="0"/>
                <w:sz w:val="22"/>
                <w:szCs w:val="22"/>
              </w:rPr>
              <w:t>1111.08</w:t>
            </w:r>
          </w:p>
        </w:tc>
      </w:tr>
    </w:tbl>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p>
    <w:p>
      <w:pPr>
        <w:ind w:firstLine="640"/>
        <w:rPr>
          <w:rFonts w:ascii="仿宋_GB2312" w:hAnsi="黑体" w:eastAsia="仿宋_GB2312" w:cs="Times New Roman"/>
          <w:sz w:val="32"/>
          <w:szCs w:val="32"/>
        </w:rPr>
      </w:pPr>
      <w:r>
        <w:rPr>
          <w:rFonts w:hint="eastAsia" w:ascii="仿宋_GB2312" w:hAnsi="黑体" w:eastAsia="仿宋_GB2312" w:cs="仿宋_GB2312"/>
          <w:sz w:val="32"/>
          <w:szCs w:val="32"/>
        </w:rPr>
        <w:t>中共河北省纪委（含所属单位）上年末固定资产金额为</w:t>
      </w:r>
      <w:r>
        <w:rPr>
          <w:rFonts w:ascii="仿宋_GB2312" w:hAnsi="黑体" w:eastAsia="仿宋_GB2312" w:cs="仿宋_GB2312"/>
          <w:sz w:val="32"/>
          <w:szCs w:val="32"/>
        </w:rPr>
        <w:t>7855.24</w:t>
      </w:r>
      <w:r>
        <w:rPr>
          <w:rFonts w:hint="eastAsia" w:ascii="仿宋_GB2312" w:hAnsi="黑体" w:eastAsia="仿宋_GB2312" w:cs="仿宋_GB2312"/>
          <w:sz w:val="32"/>
          <w:szCs w:val="32"/>
        </w:rPr>
        <w:t>万元（</w:t>
      </w:r>
      <w:r>
        <w:rPr>
          <w:rFonts w:hint="eastAsia" w:ascii="Times New Roman" w:hAnsi="Times New Roman" w:eastAsia="方正仿宋_GBK" w:cs="方正仿宋_GBK"/>
          <w:sz w:val="32"/>
          <w:szCs w:val="32"/>
        </w:rPr>
        <w:t>详见下表），</w:t>
      </w:r>
      <w:r>
        <w:rPr>
          <w:rFonts w:hint="eastAsia" w:ascii="仿宋_GB2312" w:hAnsi="黑体" w:eastAsia="仿宋_GB2312" w:cs="仿宋_GB2312"/>
          <w:sz w:val="32"/>
          <w:szCs w:val="32"/>
        </w:rPr>
        <w:t>本年度各单位（处室）无政府采购计划</w:t>
      </w:r>
      <w:r>
        <w:rPr>
          <w:rFonts w:ascii="仿宋_GB2312" w:hAnsi="黑体" w:eastAsia="仿宋_GB2312" w:cs="仿宋_GB2312"/>
          <w:sz w:val="32"/>
          <w:szCs w:val="32"/>
        </w:rPr>
        <w:t>,</w:t>
      </w:r>
    </w:p>
    <w:p>
      <w:pPr>
        <w:autoSpaceDE w:val="0"/>
        <w:autoSpaceDN w:val="0"/>
        <w:adjustRightInd w:val="0"/>
        <w:ind w:left="198" w:firstLine="3168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、一般公共预算拨款收入：</w:t>
      </w:r>
      <w:r>
        <w:rPr>
          <w:rFonts w:hint="eastAsia" w:ascii="仿宋" w:hAnsi="仿宋" w:eastAsia="仿宋" w:cs="仿宋"/>
          <w:sz w:val="32"/>
          <w:szCs w:val="32"/>
        </w:rPr>
        <w:t>指省级财政当年拨付的资金。</w:t>
      </w:r>
    </w:p>
    <w:p>
      <w:pPr>
        <w:tabs>
          <w:tab w:val="left" w:pos="11490"/>
        </w:tabs>
        <w:ind w:firstLine="3168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、事业收入：</w:t>
      </w:r>
      <w:r>
        <w:rPr>
          <w:rFonts w:hint="eastAsia" w:ascii="仿宋" w:hAnsi="仿宋" w:eastAsia="仿宋" w:cs="仿宋"/>
          <w:sz w:val="32"/>
          <w:szCs w:val="32"/>
        </w:rPr>
        <w:t>指事业单位开展专业业务活动及辅助活动所取得的收入。</w:t>
      </w:r>
    </w:p>
    <w:p>
      <w:pPr>
        <w:tabs>
          <w:tab w:val="left" w:pos="11490"/>
        </w:tabs>
        <w:ind w:firstLine="31680" w:firstLineChars="200"/>
        <w:rPr>
          <w:rFonts w:ascii="仿宋" w:hAnsi="仿宋" w:eastAsia="仿宋" w:cs="Times New Roman"/>
          <w:b/>
          <w:bCs/>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、其他收入：</w:t>
      </w:r>
      <w:r>
        <w:rPr>
          <w:rFonts w:hint="eastAsia" w:ascii="仿宋" w:hAnsi="仿宋" w:eastAsia="仿宋" w:cs="仿宋"/>
          <w:sz w:val="32"/>
          <w:szCs w:val="32"/>
        </w:rPr>
        <w:t>指除“一般公共预算拨款收入”、“事业收入”等以外的收入。主要是按规定动用的租房收入、存款利息收入等。</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、基本支出：</w:t>
      </w:r>
      <w:r>
        <w:rPr>
          <w:rFonts w:hint="eastAsia" w:ascii="仿宋" w:hAnsi="仿宋" w:eastAsia="仿宋" w:cs="仿宋"/>
          <w:sz w:val="32"/>
          <w:szCs w:val="32"/>
        </w:rPr>
        <w:t>指为保障机构正常运转、完成日常工作任务而发生的人员支出和公用支出。</w:t>
      </w:r>
    </w:p>
    <w:p>
      <w:pPr>
        <w:tabs>
          <w:tab w:val="left" w:pos="11490"/>
        </w:tabs>
        <w:ind w:firstLine="3168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、项目支出：</w:t>
      </w:r>
      <w:r>
        <w:rPr>
          <w:rFonts w:hint="eastAsia" w:ascii="仿宋" w:hAnsi="仿宋" w:eastAsia="仿宋" w:cs="仿宋"/>
          <w:sz w:val="32"/>
          <w:szCs w:val="32"/>
        </w:rPr>
        <w:t>指在基本支出之外为完成特定行政任务和事业发展目标所发生的支出。</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、上缴上级支出：</w:t>
      </w:r>
      <w:r>
        <w:rPr>
          <w:rFonts w:hint="eastAsia" w:ascii="仿宋" w:hAnsi="仿宋" w:eastAsia="仿宋" w:cs="仿宋"/>
          <w:sz w:val="32"/>
          <w:szCs w:val="32"/>
        </w:rPr>
        <w:t>指下级单位上缴上级的支出。</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7</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三公</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经费：</w:t>
      </w:r>
      <w:r>
        <w:rPr>
          <w:rFonts w:hint="eastAsia" w:ascii="仿宋" w:hAnsi="仿宋" w:eastAsia="仿宋" w:cs="仿宋"/>
          <w:sz w:val="32"/>
          <w:szCs w:val="32"/>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8</w:t>
      </w:r>
      <w:r>
        <w:rPr>
          <w:rFonts w:hint="eastAsia" w:ascii="Times New Roman" w:hAnsi="Times New Roman" w:eastAsia="方正仿宋_GBK" w:cs="方正仿宋_GBK"/>
          <w:b/>
          <w:bCs/>
          <w:sz w:val="32"/>
          <w:szCs w:val="32"/>
        </w:rPr>
        <w:t>、机关运行费：</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9</w:t>
      </w:r>
      <w:r>
        <w:rPr>
          <w:rFonts w:hint="eastAsia" w:ascii="Times New Roman" w:hAnsi="Times New Roman" w:eastAsia="方正仿宋_GBK" w:cs="方正仿宋_GBK"/>
          <w:b/>
          <w:bCs/>
          <w:sz w:val="32"/>
          <w:szCs w:val="32"/>
        </w:rPr>
        <w:t>、上年结转：</w:t>
      </w:r>
      <w:r>
        <w:rPr>
          <w:rFonts w:hint="eastAsia" w:ascii="仿宋" w:hAnsi="仿宋" w:eastAsia="仿宋" w:cs="仿宋"/>
          <w:sz w:val="32"/>
          <w:szCs w:val="32"/>
        </w:rPr>
        <w:t>指以前年度尚未完成、结转到本年仍按原规定用途继续使用的资金。</w:t>
      </w:r>
    </w:p>
    <w:p>
      <w:pPr>
        <w:tabs>
          <w:tab w:val="left" w:pos="11490"/>
        </w:tabs>
        <w:ind w:firstLine="31680" w:firstLineChars="200"/>
        <w:rPr>
          <w:rFonts w:ascii="仿宋" w:hAnsi="仿宋" w:eastAsia="仿宋" w:cs="Times New Roman"/>
          <w:sz w:val="32"/>
          <w:szCs w:val="32"/>
        </w:rPr>
      </w:pPr>
      <w:r>
        <w:rPr>
          <w:rFonts w:ascii="Times New Roman" w:hAnsi="Times New Roman" w:eastAsia="方正仿宋_GBK" w:cs="Times New Roman"/>
          <w:b/>
          <w:bCs/>
          <w:sz w:val="32"/>
          <w:szCs w:val="32"/>
        </w:rPr>
        <w:t>10</w:t>
      </w:r>
      <w:r>
        <w:rPr>
          <w:rFonts w:hint="eastAsia" w:ascii="Times New Roman" w:hAnsi="Times New Roman" w:eastAsia="方正仿宋_GBK" w:cs="方正仿宋_GBK"/>
          <w:b/>
          <w:bCs/>
          <w:sz w:val="32"/>
          <w:szCs w:val="32"/>
        </w:rPr>
        <w:t>、事业单位经营支出：</w:t>
      </w:r>
      <w:r>
        <w:rPr>
          <w:rFonts w:hint="eastAsia" w:ascii="仿宋" w:hAnsi="仿宋" w:eastAsia="仿宋" w:cs="仿宋"/>
          <w:sz w:val="32"/>
          <w:szCs w:val="32"/>
        </w:rPr>
        <w:t>指事业单位在专业业务活动及其辅助活动之外开展非独立核算经营活动发生的支出。</w:t>
      </w:r>
    </w:p>
    <w:p>
      <w:pPr>
        <w:autoSpaceDE w:val="0"/>
        <w:autoSpaceDN w:val="0"/>
        <w:adjustRightInd w:val="0"/>
        <w:ind w:firstLine="31680" w:firstLineChars="196"/>
        <w:jc w:val="left"/>
        <w:rPr>
          <w:rFonts w:ascii="黑体" w:hAnsi="黑体" w:eastAsia="黑体" w:cs="Times New Roman"/>
          <w:b/>
          <w:bCs/>
          <w:sz w:val="32"/>
          <w:szCs w:val="32"/>
        </w:rPr>
      </w:pPr>
      <w:r>
        <w:rPr>
          <w:rFonts w:hint="eastAsia" w:ascii="黑体" w:hAnsi="黑体" w:eastAsia="黑体" w:cs="黑体"/>
          <w:b/>
          <w:bCs/>
          <w:sz w:val="32"/>
          <w:szCs w:val="32"/>
        </w:rPr>
        <w:t>九、其他需要说明的事项</w:t>
      </w:r>
    </w:p>
    <w:p>
      <w:pPr>
        <w:ind w:firstLine="31680" w:firstLineChars="200"/>
        <w:rPr>
          <w:rFonts w:ascii="仿宋" w:hAnsi="仿宋" w:eastAsia="仿宋" w:cs="Times New Roman"/>
          <w:sz w:val="32"/>
          <w:szCs w:val="32"/>
        </w:rPr>
      </w:pPr>
      <w:r>
        <w:rPr>
          <w:rFonts w:hint="eastAsia" w:ascii="仿宋" w:hAnsi="仿宋" w:eastAsia="仿宋" w:cs="仿宋"/>
          <w:sz w:val="32"/>
          <w:szCs w:val="32"/>
        </w:rPr>
        <w:t>我部门无其他需要说明的事项。</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书宋_GBK">
    <w:altName w:val="宋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1D2B46F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iPriority w:val="0"/>
  </w:style>
  <w:style w:type="table" w:default="1" w:styleId="8">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toc 1"/>
    <w:basedOn w:val="1"/>
    <w:next w:val="1"/>
    <w:uiPriority w:val="0"/>
    <w:rPr>
      <w:rFonts w:ascii="Times New Roman" w:hAnsi="Times New Roman" w:cs="Times New Roman"/>
    </w:rPr>
  </w:style>
  <w:style w:type="paragraph" w:styleId="5">
    <w:name w:val="toc 2"/>
    <w:basedOn w:val="1"/>
    <w:next w:val="1"/>
    <w:uiPriority w:val="0"/>
    <w:pPr>
      <w:ind w:left="420" w:leftChars="200"/>
    </w:pPr>
    <w:rPr>
      <w:rFonts w:ascii="Times New Roman" w:hAnsi="Times New Roman" w:cs="Times New Roman"/>
    </w:rPr>
  </w:style>
  <w:style w:type="character" w:styleId="7">
    <w:name w:val="Strong"/>
    <w:basedOn w:val="6"/>
    <w:uiPriority w:val="0"/>
    <w:rPr>
      <w:b/>
      <w:bCs/>
    </w:rPr>
  </w:style>
  <w:style w:type="paragraph" w:customStyle="1" w:styleId="9">
    <w:name w:val="批注框文本1"/>
    <w:basedOn w:val="1"/>
    <w:link w:val="12"/>
    <w:uiPriority w:val="0"/>
    <w:rPr>
      <w:sz w:val="18"/>
      <w:szCs w:val="18"/>
    </w:rPr>
  </w:style>
  <w:style w:type="paragraph" w:customStyle="1" w:styleId="10">
    <w:name w:val="Normal (Web)"/>
    <w:basedOn w:val="1"/>
    <w:uiPriority w:val="0"/>
    <w:pPr>
      <w:jc w:val="left"/>
    </w:pPr>
    <w:rPr>
      <w:kern w:val="0"/>
      <w:sz w:val="24"/>
      <w:szCs w:val="24"/>
    </w:rPr>
  </w:style>
  <w:style w:type="paragraph" w:customStyle="1" w:styleId="11">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Balloon Text Char"/>
    <w:basedOn w:val="6"/>
    <w:link w:val="9"/>
    <w:semiHidden/>
    <w:uiPriority w:val="0"/>
    <w:rPr>
      <w:sz w:val="18"/>
      <w:szCs w:val="18"/>
    </w:rPr>
  </w:style>
  <w:style w:type="character" w:customStyle="1" w:styleId="13">
    <w:name w:val="Footer Char"/>
    <w:basedOn w:val="6"/>
    <w:link w:val="2"/>
    <w:semiHidden/>
    <w:uiPriority w:val="0"/>
    <w:rPr>
      <w:rFonts w:ascii="Times New Roman" w:hAnsi="Times New Roman" w:eastAsia="宋体" w:cs="Times New Roman"/>
      <w:sz w:val="18"/>
      <w:szCs w:val="18"/>
    </w:rPr>
  </w:style>
  <w:style w:type="character" w:customStyle="1" w:styleId="14">
    <w:name w:val="Header Char"/>
    <w:basedOn w:val="6"/>
    <w:link w:val="3"/>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465</Words>
  <Characters>2655</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2017-01-13T11:22:00Z</dcterms:created>
  <dc:creator>guest</dc:creator>
  <cp:lastModifiedBy>Administrator</cp:lastModifiedBy>
  <cp:lastPrinted>2018-02-12T11:44:00Z</cp:lastPrinted>
  <dcterms:modified xsi:type="dcterms:W3CDTF">2021-04-19T09:17:35Z</dcterms:modified>
  <dc:title>admin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