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ind w:firstLine="880" w:firstLineChars="200"/>
        <w:jc w:val="center"/>
        <w:rPr>
          <w:rFonts w:ascii="Times New Roman" w:hAnsi="Times New Roman" w:eastAsia="方正小标宋_GBK" w:cs="Times New Roman"/>
          <w:sz w:val="44"/>
          <w:szCs w:val="44"/>
        </w:rPr>
      </w:pPr>
      <w:r>
        <w:rPr>
          <w:rFonts w:hint="eastAsia" w:ascii="Times New Roman" w:hAnsi="Times New Roman" w:eastAsia="方正小标宋_GBK" w:cs="方正小标宋_GBK"/>
          <w:sz w:val="44"/>
          <w:szCs w:val="44"/>
        </w:rPr>
        <w:t>中共河北省纪委</w:t>
      </w:r>
      <w:r>
        <w:rPr>
          <w:rFonts w:ascii="Times New Roman" w:hAnsi="Times New Roman" w:eastAsia="方正小标宋_GBK" w:cs="Times New Roman"/>
          <w:sz w:val="44"/>
          <w:szCs w:val="44"/>
        </w:rPr>
        <w:t>2019</w:t>
      </w:r>
      <w:r>
        <w:rPr>
          <w:rFonts w:hint="eastAsia" w:ascii="Times New Roman" w:hAnsi="Times New Roman" w:eastAsia="方正小标宋_GBK" w:cs="方正小标宋_GBK"/>
          <w:sz w:val="44"/>
          <w:szCs w:val="44"/>
        </w:rPr>
        <w:t>年部门预算信息公开情况说明</w:t>
      </w:r>
    </w:p>
    <w:p>
      <w:pPr>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按照《预算法》、《地方预决算公开操作规程》和《河北省省级预算公开办法》规定，现将中共河北省纪委</w:t>
      </w:r>
      <w:r>
        <w:rPr>
          <w:rFonts w:ascii="Times New Roman" w:hAnsi="Times New Roman" w:eastAsia="方正仿宋_GBK" w:cs="Times New Roman"/>
          <w:sz w:val="32"/>
          <w:szCs w:val="32"/>
        </w:rPr>
        <w:t>2019</w:t>
      </w:r>
      <w:r>
        <w:rPr>
          <w:rFonts w:hint="eastAsia" w:ascii="Times New Roman" w:hAnsi="Times New Roman" w:eastAsia="方正仿宋_GBK" w:cs="方正仿宋_GBK"/>
          <w:sz w:val="32"/>
          <w:szCs w:val="32"/>
        </w:rPr>
        <w:t>年部门预算公开如下：</w:t>
      </w:r>
    </w:p>
    <w:p>
      <w:pPr>
        <w:ind w:firstLine="640"/>
        <w:rPr>
          <w:rFonts w:ascii="黑体" w:hAnsi="黑体" w:eastAsia="黑体" w:cs="Times New Roman"/>
          <w:sz w:val="32"/>
          <w:szCs w:val="32"/>
        </w:rPr>
      </w:pPr>
      <w:r>
        <w:rPr>
          <w:rFonts w:hint="eastAsia" w:ascii="黑体" w:hAnsi="黑体" w:eastAsia="黑体" w:cs="黑体"/>
          <w:sz w:val="32"/>
          <w:szCs w:val="32"/>
        </w:rPr>
        <w:t>一、部门职责及机构设置情况</w:t>
      </w:r>
    </w:p>
    <w:p>
      <w:pPr>
        <w:ind w:firstLine="643" w:firstLineChars="200"/>
        <w:rPr>
          <w:rFonts w:ascii="Times New Roman" w:hAnsi="Times New Roman" w:eastAsia="方正仿宋_GBK" w:cs="Times New Roman"/>
          <w:b/>
          <w:bCs/>
          <w:sz w:val="32"/>
          <w:szCs w:val="32"/>
        </w:rPr>
      </w:pPr>
      <w:r>
        <w:rPr>
          <w:rFonts w:hint="eastAsia" w:ascii="Times New Roman" w:hAnsi="Times New Roman" w:eastAsia="方正仿宋_GBK" w:cs="方正仿宋_GBK"/>
          <w:b/>
          <w:bCs/>
          <w:sz w:val="32"/>
          <w:szCs w:val="32"/>
        </w:rPr>
        <w:t>部门职责：</w:t>
      </w:r>
    </w:p>
    <w:p>
      <w:pPr>
        <w:autoSpaceDE w:val="0"/>
        <w:autoSpaceDN w:val="0"/>
        <w:adjustRightInd w:val="0"/>
        <w:ind w:left="198" w:firstLine="640" w:firstLineChars="200"/>
        <w:jc w:val="left"/>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（一）负责全省党的纪律检查工作。</w:t>
      </w:r>
    </w:p>
    <w:p>
      <w:pPr>
        <w:autoSpaceDE w:val="0"/>
        <w:autoSpaceDN w:val="0"/>
        <w:adjustRightInd w:val="0"/>
        <w:ind w:left="198" w:firstLine="640" w:firstLineChars="200"/>
        <w:jc w:val="left"/>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（二）依照党的章程和其他党内法规履行监督、执纪、问责职责。</w:t>
      </w:r>
    </w:p>
    <w:p>
      <w:pPr>
        <w:autoSpaceDE w:val="0"/>
        <w:autoSpaceDN w:val="0"/>
        <w:adjustRightInd w:val="0"/>
        <w:ind w:left="198" w:firstLine="640" w:firstLineChars="200"/>
        <w:jc w:val="left"/>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（三）支持配合巡视工作。</w:t>
      </w:r>
    </w:p>
    <w:p>
      <w:pPr>
        <w:autoSpaceDE w:val="0"/>
        <w:autoSpaceDN w:val="0"/>
        <w:adjustRightInd w:val="0"/>
        <w:ind w:left="198" w:firstLine="640" w:firstLineChars="200"/>
        <w:jc w:val="left"/>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（四）负责全省监察工作</w:t>
      </w:r>
    </w:p>
    <w:p>
      <w:pPr>
        <w:autoSpaceDE w:val="0"/>
        <w:autoSpaceDN w:val="0"/>
        <w:adjustRightInd w:val="0"/>
        <w:ind w:left="198" w:firstLine="640" w:firstLineChars="200"/>
        <w:jc w:val="left"/>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（五）依照法律规定履行监督、调查、处置职责。</w:t>
      </w:r>
    </w:p>
    <w:p>
      <w:pPr>
        <w:autoSpaceDE w:val="0"/>
        <w:autoSpaceDN w:val="0"/>
        <w:adjustRightInd w:val="0"/>
        <w:ind w:left="198" w:firstLine="640" w:firstLineChars="200"/>
        <w:jc w:val="left"/>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（六）负责组织协调全面从严治党、党风廉政建设和反腐败宣传教育工作。</w:t>
      </w:r>
    </w:p>
    <w:p>
      <w:pPr>
        <w:autoSpaceDE w:val="0"/>
        <w:autoSpaceDN w:val="0"/>
        <w:adjustRightInd w:val="0"/>
        <w:ind w:left="198" w:firstLine="640" w:firstLineChars="200"/>
        <w:jc w:val="left"/>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（七）负责综合分析全面从严治党、党风廉政建设和反腐败工作情况，对纪检监察工作重要理论及实践问题进行调查研究；制定或者修改全省纪检监察法规制度，参与起草有关法律、法规和规范性文件。</w:t>
      </w:r>
    </w:p>
    <w:p>
      <w:pPr>
        <w:autoSpaceDE w:val="0"/>
        <w:autoSpaceDN w:val="0"/>
        <w:adjustRightInd w:val="0"/>
        <w:ind w:left="198" w:firstLine="640" w:firstLineChars="200"/>
        <w:jc w:val="left"/>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（八）负责组织协调全省反腐败追逃追赃和防逃工作，督促有关单位做好相关工作。</w:t>
      </w:r>
    </w:p>
    <w:p>
      <w:pPr>
        <w:autoSpaceDE w:val="0"/>
        <w:autoSpaceDN w:val="0"/>
        <w:adjustRightInd w:val="0"/>
        <w:ind w:left="198" w:firstLine="640" w:firstLineChars="200"/>
        <w:jc w:val="left"/>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九）根据干部管理权限，负责全省纪检监察系统领导班子建设、干部队伍建设和组织建设的综合规划、政策研究、制度建设和业务指导；会同省委组织部负责省委巡视办的厅级干部提名、考察，报省委任免；根据干部管理权限负责省委巡视办处级及以下干部人事工作。</w:t>
      </w:r>
    </w:p>
    <w:p>
      <w:pPr>
        <w:autoSpaceDE w:val="0"/>
        <w:autoSpaceDN w:val="0"/>
        <w:adjustRightInd w:val="0"/>
        <w:ind w:left="198" w:firstLine="640" w:firstLineChars="200"/>
        <w:jc w:val="left"/>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（十）完成中央纪委、国家监委、省委交办的其他任务。</w:t>
      </w:r>
    </w:p>
    <w:p>
      <w:pPr>
        <w:autoSpaceDE w:val="0"/>
        <w:autoSpaceDN w:val="0"/>
        <w:adjustRightInd w:val="0"/>
        <w:ind w:left="198" w:firstLine="643" w:firstLineChars="200"/>
        <w:jc w:val="left"/>
        <w:rPr>
          <w:rFonts w:ascii="方正仿宋_GBK" w:hAnsi="Times New Roman" w:eastAsia="方正仿宋_GBK" w:cs="Times New Roman"/>
          <w:b/>
          <w:bCs/>
          <w:sz w:val="32"/>
          <w:szCs w:val="32"/>
        </w:rPr>
      </w:pPr>
      <w:r>
        <w:rPr>
          <w:rFonts w:hint="eastAsia" w:ascii="方正仿宋_GBK" w:hAnsi="Times New Roman" w:eastAsia="方正仿宋_GBK" w:cs="方正仿宋_GBK"/>
          <w:b/>
          <w:bCs/>
          <w:sz w:val="32"/>
          <w:szCs w:val="32"/>
        </w:rPr>
        <w:t>机构设置：</w:t>
      </w:r>
    </w:p>
    <w:p>
      <w:pPr>
        <w:jc w:val="center"/>
        <w:outlineLvl w:val="0"/>
        <w:rPr>
          <w:rFonts w:ascii="Times New Roman" w:hAnsi="Times New Roman" w:eastAsia="方正小标宋_GBK" w:cs="Times New Roman"/>
          <w:sz w:val="32"/>
          <w:szCs w:val="32"/>
        </w:rPr>
      </w:pPr>
      <w:r>
        <w:rPr>
          <w:rFonts w:hint="eastAsia" w:ascii="Times New Roman" w:hAnsi="Times New Roman" w:eastAsia="方正小标宋_GBK" w:cs="方正小标宋_GBK"/>
          <w:sz w:val="32"/>
          <w:szCs w:val="32"/>
        </w:rPr>
        <w:t>部门机构设置情况</w:t>
      </w:r>
    </w:p>
    <w:tbl>
      <w:tblPr>
        <w:tblStyle w:val="8"/>
        <w:tblW w:w="97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4443"/>
        <w:gridCol w:w="1134"/>
        <w:gridCol w:w="1276"/>
        <w:gridCol w:w="29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00" w:hRule="atLeast"/>
          <w:tblHeader/>
          <w:jc w:val="center"/>
        </w:trPr>
        <w:tc>
          <w:tcPr>
            <w:tcW w:w="4443" w:type="dxa"/>
            <w:vMerge w:val="restart"/>
            <w:vAlign w:val="center"/>
          </w:tcPr>
          <w:p>
            <w:pPr>
              <w:spacing w:line="300" w:lineRule="exact"/>
              <w:jc w:val="center"/>
              <w:rPr>
                <w:rFonts w:ascii="Times New Roman" w:hAnsi="Times New Roman" w:eastAsia="方正书宋_GBK" w:cs="Times New Roman"/>
                <w:b/>
                <w:bCs/>
              </w:rPr>
            </w:pPr>
            <w:r>
              <w:rPr>
                <w:rFonts w:hint="eastAsia" w:ascii="Times New Roman" w:hAnsi="Times New Roman" w:eastAsia="方正书宋_GBK" w:cs="方正书宋_GBK"/>
                <w:b/>
                <w:bCs/>
              </w:rPr>
              <w:t>单位名称</w:t>
            </w:r>
          </w:p>
        </w:tc>
        <w:tc>
          <w:tcPr>
            <w:tcW w:w="1134" w:type="dxa"/>
            <w:vMerge w:val="restart"/>
            <w:vAlign w:val="center"/>
          </w:tcPr>
          <w:p>
            <w:pPr>
              <w:spacing w:line="300" w:lineRule="exact"/>
              <w:jc w:val="center"/>
              <w:rPr>
                <w:rFonts w:ascii="Times New Roman" w:hAnsi="Times New Roman" w:eastAsia="方正书宋_GBK" w:cs="Times New Roman"/>
                <w:b/>
                <w:bCs/>
              </w:rPr>
            </w:pPr>
            <w:r>
              <w:rPr>
                <w:rFonts w:hint="eastAsia" w:ascii="Times New Roman" w:hAnsi="Times New Roman" w:eastAsia="方正书宋_GBK" w:cs="方正书宋_GBK"/>
                <w:b/>
                <w:bCs/>
              </w:rPr>
              <w:t>单位性质</w:t>
            </w:r>
          </w:p>
        </w:tc>
        <w:tc>
          <w:tcPr>
            <w:tcW w:w="1276" w:type="dxa"/>
            <w:vMerge w:val="restart"/>
            <w:vAlign w:val="center"/>
          </w:tcPr>
          <w:p>
            <w:pPr>
              <w:spacing w:line="300" w:lineRule="exact"/>
              <w:jc w:val="center"/>
              <w:rPr>
                <w:rFonts w:ascii="Times New Roman" w:hAnsi="Times New Roman" w:eastAsia="方正书宋_GBK" w:cs="Times New Roman"/>
                <w:b/>
                <w:bCs/>
              </w:rPr>
            </w:pPr>
            <w:r>
              <w:rPr>
                <w:rFonts w:hint="eastAsia" w:ascii="Times New Roman" w:hAnsi="Times New Roman" w:eastAsia="方正书宋_GBK" w:cs="方正书宋_GBK"/>
                <w:b/>
                <w:bCs/>
              </w:rPr>
              <w:t>单位规格</w:t>
            </w:r>
          </w:p>
        </w:tc>
        <w:tc>
          <w:tcPr>
            <w:tcW w:w="2902" w:type="dxa"/>
            <w:vMerge w:val="restart"/>
            <w:vAlign w:val="center"/>
          </w:tcPr>
          <w:p>
            <w:pPr>
              <w:spacing w:line="300" w:lineRule="exact"/>
              <w:jc w:val="center"/>
              <w:rPr>
                <w:rFonts w:ascii="Times New Roman" w:hAnsi="Times New Roman" w:eastAsia="方正书宋_GBK" w:cs="Times New Roman"/>
                <w:b/>
                <w:bCs/>
              </w:rPr>
            </w:pPr>
            <w:r>
              <w:rPr>
                <w:rFonts w:hint="eastAsia" w:ascii="Times New Roman" w:hAnsi="Times New Roman" w:eastAsia="方正书宋_GBK" w:cs="方正书宋_GBK"/>
                <w:b/>
                <w:bCs/>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00" w:hRule="atLeast"/>
          <w:tblHeader/>
          <w:jc w:val="center"/>
        </w:trPr>
        <w:tc>
          <w:tcPr>
            <w:tcW w:w="4443" w:type="dxa"/>
            <w:vMerge w:val="continue"/>
            <w:vAlign w:val="center"/>
          </w:tcPr>
          <w:p>
            <w:pPr>
              <w:spacing w:line="300" w:lineRule="exact"/>
              <w:jc w:val="left"/>
              <w:outlineLvl w:val="0"/>
              <w:rPr>
                <w:rFonts w:ascii="Times New Roman" w:hAnsi="Times New Roman" w:cs="Times New Roman"/>
              </w:rPr>
            </w:pPr>
          </w:p>
        </w:tc>
        <w:tc>
          <w:tcPr>
            <w:tcW w:w="1134" w:type="dxa"/>
            <w:vMerge w:val="continue"/>
            <w:vAlign w:val="center"/>
          </w:tcPr>
          <w:p>
            <w:pPr>
              <w:spacing w:line="300" w:lineRule="exact"/>
              <w:jc w:val="left"/>
              <w:outlineLvl w:val="0"/>
              <w:rPr>
                <w:rFonts w:ascii="Times New Roman" w:hAnsi="Times New Roman" w:cs="Times New Roman"/>
              </w:rPr>
            </w:pPr>
          </w:p>
        </w:tc>
        <w:tc>
          <w:tcPr>
            <w:tcW w:w="1276" w:type="dxa"/>
            <w:vMerge w:val="continue"/>
            <w:vAlign w:val="center"/>
          </w:tcPr>
          <w:p>
            <w:pPr>
              <w:spacing w:line="300" w:lineRule="exact"/>
              <w:jc w:val="left"/>
              <w:outlineLvl w:val="0"/>
              <w:rPr>
                <w:rFonts w:ascii="Times New Roman" w:hAnsi="Times New Roman" w:cs="Times New Roman"/>
              </w:rPr>
            </w:pPr>
          </w:p>
        </w:tc>
        <w:tc>
          <w:tcPr>
            <w:tcW w:w="2902" w:type="dxa"/>
            <w:vMerge w:val="continue"/>
            <w:vAlign w:val="center"/>
          </w:tcPr>
          <w:p>
            <w:pPr>
              <w:spacing w:line="300" w:lineRule="exact"/>
              <w:jc w:val="left"/>
              <w:outlineLvl w:val="0"/>
              <w:rPr>
                <w:rFonts w:ascii="Times New Roman" w:hAnsi="Times New Roman"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227" w:hRule="atLeast"/>
          <w:jc w:val="center"/>
        </w:trPr>
        <w:tc>
          <w:tcPr>
            <w:tcW w:w="4443" w:type="dxa"/>
            <w:vAlign w:val="center"/>
          </w:tcPr>
          <w:p>
            <w:pPr>
              <w:spacing w:line="300" w:lineRule="exact"/>
              <w:jc w:val="left"/>
              <w:rPr>
                <w:rFonts w:ascii="Times New Roman" w:hAnsi="Times New Roman" w:eastAsia="方正书宋_GBK" w:cs="Times New Roman"/>
              </w:rPr>
            </w:pPr>
            <w:r>
              <w:rPr>
                <w:rFonts w:hint="eastAsia" w:ascii="Times New Roman" w:hAnsi="Times New Roman" w:eastAsia="方正书宋_GBK" w:cs="方正书宋_GBK"/>
              </w:rPr>
              <w:t>中共河北省纪律检查委员会</w:t>
            </w:r>
          </w:p>
        </w:tc>
        <w:tc>
          <w:tcPr>
            <w:tcW w:w="1134" w:type="dxa"/>
            <w:vAlign w:val="center"/>
          </w:tcPr>
          <w:p>
            <w:pPr>
              <w:spacing w:line="300" w:lineRule="exact"/>
              <w:ind w:firstLine="210" w:firstLineChars="100"/>
              <w:jc w:val="left"/>
              <w:rPr>
                <w:rFonts w:ascii="Times New Roman" w:hAnsi="Times New Roman" w:eastAsia="方正书宋_GBK" w:cs="Times New Roman"/>
              </w:rPr>
            </w:pPr>
            <w:r>
              <w:rPr>
                <w:rFonts w:hint="eastAsia" w:ascii="Times New Roman" w:hAnsi="Times New Roman" w:eastAsia="方正书宋_GBK" w:cs="方正书宋_GBK"/>
              </w:rPr>
              <w:t>行政</w:t>
            </w:r>
          </w:p>
        </w:tc>
        <w:tc>
          <w:tcPr>
            <w:tcW w:w="1276" w:type="dxa"/>
            <w:vAlign w:val="center"/>
          </w:tcPr>
          <w:p>
            <w:pPr>
              <w:spacing w:line="300" w:lineRule="exact"/>
              <w:ind w:firstLine="105" w:firstLineChars="50"/>
              <w:jc w:val="left"/>
              <w:rPr>
                <w:rFonts w:ascii="Times New Roman" w:hAnsi="Times New Roman" w:eastAsia="方正书宋_GBK" w:cs="Times New Roman"/>
              </w:rPr>
            </w:pPr>
            <w:r>
              <w:rPr>
                <w:rFonts w:hint="eastAsia" w:ascii="Times New Roman" w:hAnsi="Times New Roman" w:eastAsia="方正书宋_GBK" w:cs="方正书宋_GBK"/>
              </w:rPr>
              <w:t>正厅级</w:t>
            </w:r>
          </w:p>
        </w:tc>
        <w:tc>
          <w:tcPr>
            <w:tcW w:w="2902" w:type="dxa"/>
            <w:vAlign w:val="center"/>
          </w:tcPr>
          <w:p>
            <w:pPr>
              <w:spacing w:line="300" w:lineRule="exact"/>
              <w:jc w:val="left"/>
              <w:rPr>
                <w:rFonts w:ascii="Times New Roman" w:hAnsi="Times New Roman" w:eastAsia="方正书宋_GBK" w:cs="Times New Roman"/>
              </w:rPr>
            </w:pPr>
            <w:r>
              <w:rPr>
                <w:rFonts w:hint="eastAsia" w:ascii="Times New Roman" w:hAnsi="Times New Roman" w:eastAsia="方正书宋_GBK" w:cs="方正书宋_GBK"/>
              </w:rP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227" w:hRule="atLeast"/>
          <w:jc w:val="center"/>
        </w:trPr>
        <w:tc>
          <w:tcPr>
            <w:tcW w:w="4443" w:type="dxa"/>
            <w:vAlign w:val="center"/>
          </w:tcPr>
          <w:p>
            <w:pPr>
              <w:spacing w:line="300" w:lineRule="exact"/>
              <w:jc w:val="left"/>
              <w:rPr>
                <w:rFonts w:ascii="Times New Roman" w:hAnsi="Times New Roman" w:eastAsia="方正书宋_GBK" w:cs="Times New Roman"/>
              </w:rPr>
            </w:pPr>
            <w:r>
              <w:rPr>
                <w:rFonts w:hint="eastAsia" w:ascii="Times New Roman" w:hAnsi="Times New Roman" w:eastAsia="方正书宋_GBK" w:cs="方正书宋_GBK"/>
              </w:rPr>
              <w:t>省纪委监委廉政教育培训中心</w:t>
            </w:r>
          </w:p>
        </w:tc>
        <w:tc>
          <w:tcPr>
            <w:tcW w:w="1134" w:type="dxa"/>
            <w:vAlign w:val="center"/>
          </w:tcPr>
          <w:p>
            <w:pPr>
              <w:spacing w:line="300" w:lineRule="exact"/>
              <w:ind w:firstLine="210" w:firstLineChars="100"/>
              <w:jc w:val="left"/>
              <w:rPr>
                <w:rFonts w:ascii="Times New Roman" w:hAnsi="Times New Roman" w:eastAsia="方正书宋_GBK" w:cs="Times New Roman"/>
              </w:rPr>
            </w:pPr>
            <w:r>
              <w:rPr>
                <w:rFonts w:hint="eastAsia" w:ascii="Times New Roman" w:hAnsi="Times New Roman" w:eastAsia="方正书宋_GBK" w:cs="方正书宋_GBK"/>
              </w:rPr>
              <w:t>事业</w:t>
            </w:r>
          </w:p>
        </w:tc>
        <w:tc>
          <w:tcPr>
            <w:tcW w:w="1276" w:type="dxa"/>
            <w:vAlign w:val="center"/>
          </w:tcPr>
          <w:p>
            <w:pPr>
              <w:spacing w:line="300" w:lineRule="exact"/>
              <w:ind w:firstLine="105" w:firstLineChars="50"/>
              <w:jc w:val="left"/>
              <w:rPr>
                <w:rFonts w:ascii="Times New Roman" w:hAnsi="Times New Roman" w:eastAsia="方正书宋_GBK" w:cs="Times New Roman"/>
              </w:rPr>
            </w:pPr>
            <w:r>
              <w:rPr>
                <w:rFonts w:hint="eastAsia" w:ascii="Times New Roman" w:hAnsi="Times New Roman" w:eastAsia="方正书宋_GBK" w:cs="方正书宋_GBK"/>
              </w:rPr>
              <w:t>正处级</w:t>
            </w:r>
          </w:p>
        </w:tc>
        <w:tc>
          <w:tcPr>
            <w:tcW w:w="2902" w:type="dxa"/>
            <w:vAlign w:val="center"/>
          </w:tcPr>
          <w:p>
            <w:pPr>
              <w:spacing w:line="300" w:lineRule="exact"/>
              <w:jc w:val="left"/>
              <w:rPr>
                <w:rFonts w:ascii="Times New Roman" w:hAnsi="Times New Roman" w:eastAsia="方正书宋_GBK" w:cs="Times New Roman"/>
              </w:rPr>
            </w:pPr>
            <w:r>
              <w:rPr>
                <w:rFonts w:hint="eastAsia" w:ascii="Times New Roman" w:hAnsi="Times New Roman" w:eastAsia="方正书宋_GBK" w:cs="方正书宋_GBK"/>
              </w:rP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Ex>
        <w:trPr>
          <w:trHeight w:val="227" w:hRule="atLeast"/>
          <w:jc w:val="center"/>
        </w:trPr>
        <w:tc>
          <w:tcPr>
            <w:tcW w:w="4443" w:type="dxa"/>
            <w:vAlign w:val="center"/>
          </w:tcPr>
          <w:p>
            <w:pPr>
              <w:spacing w:line="300" w:lineRule="exact"/>
              <w:jc w:val="left"/>
              <w:rPr>
                <w:rFonts w:ascii="Times New Roman" w:hAnsi="Times New Roman" w:eastAsia="方正书宋_GBK" w:cs="Times New Roman"/>
              </w:rPr>
            </w:pPr>
            <w:r>
              <w:rPr>
                <w:rFonts w:hint="eastAsia" w:ascii="Times New Roman" w:hAnsi="Times New Roman" w:eastAsia="方正书宋_GBK" w:cs="方正书宋_GBK"/>
              </w:rPr>
              <w:t>省委巡视工作领导小组办公室</w:t>
            </w:r>
          </w:p>
        </w:tc>
        <w:tc>
          <w:tcPr>
            <w:tcW w:w="1134" w:type="dxa"/>
            <w:vAlign w:val="center"/>
          </w:tcPr>
          <w:p>
            <w:pPr>
              <w:spacing w:line="300" w:lineRule="exact"/>
              <w:ind w:firstLine="210" w:firstLineChars="100"/>
              <w:jc w:val="left"/>
              <w:rPr>
                <w:rFonts w:ascii="Times New Roman" w:hAnsi="Times New Roman" w:eastAsia="方正书宋_GBK" w:cs="Times New Roman"/>
              </w:rPr>
            </w:pPr>
            <w:r>
              <w:rPr>
                <w:rFonts w:hint="eastAsia" w:ascii="Times New Roman" w:hAnsi="Times New Roman" w:eastAsia="方正书宋_GBK" w:cs="方正书宋_GBK"/>
              </w:rPr>
              <w:t>行政</w:t>
            </w:r>
          </w:p>
        </w:tc>
        <w:tc>
          <w:tcPr>
            <w:tcW w:w="1276" w:type="dxa"/>
            <w:vAlign w:val="center"/>
          </w:tcPr>
          <w:p>
            <w:pPr>
              <w:spacing w:line="300" w:lineRule="exact"/>
              <w:ind w:firstLine="105" w:firstLineChars="50"/>
              <w:jc w:val="left"/>
              <w:rPr>
                <w:rFonts w:ascii="Times New Roman" w:hAnsi="Times New Roman" w:eastAsia="方正书宋_GBK" w:cs="Times New Roman"/>
              </w:rPr>
            </w:pPr>
            <w:r>
              <w:rPr>
                <w:rFonts w:hint="eastAsia" w:ascii="Times New Roman" w:hAnsi="Times New Roman" w:eastAsia="方正书宋_GBK" w:cs="方正书宋_GBK"/>
              </w:rPr>
              <w:t>正厅级</w:t>
            </w:r>
          </w:p>
        </w:tc>
        <w:tc>
          <w:tcPr>
            <w:tcW w:w="2902" w:type="dxa"/>
            <w:vAlign w:val="center"/>
          </w:tcPr>
          <w:p>
            <w:pPr>
              <w:spacing w:line="300" w:lineRule="exact"/>
              <w:jc w:val="left"/>
              <w:rPr>
                <w:rFonts w:ascii="Times New Roman" w:hAnsi="Times New Roman" w:eastAsia="方正书宋_GBK" w:cs="Times New Roman"/>
              </w:rPr>
            </w:pPr>
            <w:r>
              <w:rPr>
                <w:rFonts w:hint="eastAsia" w:ascii="Times New Roman" w:hAnsi="Times New Roman" w:eastAsia="方正书宋_GBK" w:cs="方正书宋_GBK"/>
              </w:rPr>
              <w:t>财政拨款</w:t>
            </w:r>
          </w:p>
        </w:tc>
      </w:tr>
    </w:tbl>
    <w:p>
      <w:pPr>
        <w:rPr>
          <w:rFonts w:cs="Times New Roman"/>
        </w:rPr>
      </w:pPr>
    </w:p>
    <w:p>
      <w:pPr>
        <w:ind w:firstLine="640"/>
        <w:rPr>
          <w:rFonts w:ascii="黑体" w:hAnsi="黑体" w:eastAsia="黑体" w:cs="Times New Roman"/>
          <w:sz w:val="32"/>
          <w:szCs w:val="32"/>
        </w:rPr>
      </w:pPr>
      <w:r>
        <w:rPr>
          <w:rFonts w:hint="eastAsia" w:ascii="黑体" w:hAnsi="黑体" w:eastAsia="黑体" w:cs="黑体"/>
          <w:sz w:val="32"/>
          <w:szCs w:val="32"/>
        </w:rPr>
        <w:t>二、部门预算安排的总体情况</w:t>
      </w:r>
    </w:p>
    <w:p>
      <w:pPr>
        <w:ind w:firstLine="64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按照预算管理有关规定，目前我省部门预算的编制实行综合预算管理，即全部收入和支出都反映在预算中。中共河北省纪委机关及所属事业单位的收支包含在部门预算中。</w:t>
      </w:r>
    </w:p>
    <w:p>
      <w:pPr>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方正仿宋_GBK"/>
          <w:sz w:val="32"/>
          <w:szCs w:val="32"/>
        </w:rPr>
        <w:t>、收入说明</w:t>
      </w:r>
    </w:p>
    <w:p>
      <w:pPr>
        <w:ind w:firstLine="64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反映本部门当年全部收入。</w:t>
      </w:r>
      <w:r>
        <w:rPr>
          <w:rFonts w:ascii="Times New Roman" w:hAnsi="Times New Roman" w:eastAsia="方正仿宋_GBK" w:cs="Times New Roman"/>
          <w:sz w:val="32"/>
          <w:szCs w:val="32"/>
        </w:rPr>
        <w:t>2019</w:t>
      </w:r>
      <w:r>
        <w:rPr>
          <w:rFonts w:hint="eastAsia" w:ascii="Times New Roman" w:hAnsi="Times New Roman" w:eastAsia="方正仿宋_GBK" w:cs="方正仿宋_GBK"/>
          <w:sz w:val="32"/>
          <w:szCs w:val="32"/>
        </w:rPr>
        <w:t>年预算收入</w:t>
      </w:r>
      <w:r>
        <w:rPr>
          <w:rFonts w:ascii="Times New Roman" w:hAnsi="Times New Roman" w:eastAsia="方正仿宋_GBK" w:cs="Times New Roman"/>
          <w:sz w:val="32"/>
          <w:szCs w:val="32"/>
        </w:rPr>
        <w:t>18998.19</w:t>
      </w:r>
      <w:r>
        <w:rPr>
          <w:rFonts w:hint="eastAsia" w:ascii="Times New Roman" w:hAnsi="Times New Roman" w:eastAsia="方正仿宋_GBK" w:cs="方正仿宋_GBK"/>
          <w:sz w:val="32"/>
          <w:szCs w:val="32"/>
        </w:rPr>
        <w:t>万元，其中：一般公共预算收入</w:t>
      </w:r>
      <w:r>
        <w:rPr>
          <w:rFonts w:ascii="Times New Roman" w:hAnsi="Times New Roman" w:eastAsia="方正仿宋_GBK" w:cs="Times New Roman"/>
          <w:sz w:val="32"/>
          <w:szCs w:val="32"/>
        </w:rPr>
        <w:t>18998.19</w:t>
      </w:r>
      <w:r>
        <w:rPr>
          <w:rFonts w:hint="eastAsia" w:ascii="Times New Roman" w:hAnsi="Times New Roman" w:eastAsia="方正仿宋_GBK" w:cs="方正仿宋_GBK"/>
          <w:sz w:val="32"/>
          <w:szCs w:val="32"/>
        </w:rPr>
        <w:t>万元，基金预算收入</w:t>
      </w:r>
      <w:r>
        <w:rPr>
          <w:rFonts w:ascii="Times New Roman" w:hAnsi="Times New Roman" w:eastAsia="方正仿宋_GBK" w:cs="Times New Roman"/>
          <w:sz w:val="32"/>
          <w:szCs w:val="32"/>
        </w:rPr>
        <w:t>0</w:t>
      </w:r>
      <w:r>
        <w:rPr>
          <w:rFonts w:hint="eastAsia" w:ascii="Times New Roman" w:hAnsi="Times New Roman" w:eastAsia="方正仿宋_GBK" w:cs="方正仿宋_GBK"/>
          <w:sz w:val="32"/>
          <w:szCs w:val="32"/>
        </w:rPr>
        <w:t>万元，财政专户核拨收入</w:t>
      </w:r>
      <w:r>
        <w:rPr>
          <w:rFonts w:ascii="Times New Roman" w:hAnsi="Times New Roman" w:eastAsia="方正仿宋_GBK" w:cs="Times New Roman"/>
          <w:sz w:val="32"/>
          <w:szCs w:val="32"/>
        </w:rPr>
        <w:t>0</w:t>
      </w:r>
      <w:r>
        <w:rPr>
          <w:rFonts w:hint="eastAsia" w:ascii="Times New Roman" w:hAnsi="Times New Roman" w:eastAsia="方正仿宋_GBK" w:cs="方正仿宋_GBK"/>
          <w:sz w:val="32"/>
          <w:szCs w:val="32"/>
        </w:rPr>
        <w:t>万元，其他来源收入</w:t>
      </w:r>
      <w:r>
        <w:rPr>
          <w:rFonts w:ascii="Times New Roman" w:hAnsi="Times New Roman" w:eastAsia="方正仿宋_GBK" w:cs="Times New Roman"/>
          <w:sz w:val="32"/>
          <w:szCs w:val="32"/>
        </w:rPr>
        <w:t>0</w:t>
      </w:r>
      <w:r>
        <w:rPr>
          <w:rFonts w:hint="eastAsia" w:ascii="Times New Roman" w:hAnsi="Times New Roman" w:eastAsia="方正仿宋_GBK" w:cs="方正仿宋_GBK"/>
          <w:sz w:val="32"/>
          <w:szCs w:val="32"/>
        </w:rPr>
        <w:t>万元。</w:t>
      </w:r>
    </w:p>
    <w:p>
      <w:pPr>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方正仿宋_GBK"/>
          <w:sz w:val="32"/>
          <w:szCs w:val="32"/>
        </w:rPr>
        <w:t>、支出说明</w:t>
      </w:r>
    </w:p>
    <w:p>
      <w:pPr>
        <w:ind w:firstLine="64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收支预算总表支出栏、基本支出表、项目支出表按经济分类和支出功能分类科目编制，反映中共河北省纪委年度部门预算中支出预算的总体情况。</w:t>
      </w:r>
      <w:r>
        <w:rPr>
          <w:rFonts w:ascii="Times New Roman" w:hAnsi="Times New Roman" w:eastAsia="方正仿宋_GBK" w:cs="Times New Roman"/>
          <w:sz w:val="32"/>
          <w:szCs w:val="32"/>
        </w:rPr>
        <w:t>2019</w:t>
      </w:r>
      <w:r>
        <w:rPr>
          <w:rFonts w:hint="eastAsia" w:ascii="Times New Roman" w:hAnsi="Times New Roman" w:eastAsia="方正仿宋_GBK" w:cs="方正仿宋_GBK"/>
          <w:sz w:val="32"/>
          <w:szCs w:val="32"/>
        </w:rPr>
        <w:t>年支出预算</w:t>
      </w:r>
      <w:r>
        <w:rPr>
          <w:rFonts w:ascii="Times New Roman" w:hAnsi="Times New Roman" w:eastAsia="方正仿宋_GBK" w:cs="Times New Roman"/>
          <w:sz w:val="32"/>
          <w:szCs w:val="32"/>
        </w:rPr>
        <w:t>18998.19</w:t>
      </w:r>
      <w:r>
        <w:rPr>
          <w:rFonts w:hint="eastAsia" w:ascii="Times New Roman" w:hAnsi="Times New Roman" w:eastAsia="方正仿宋_GBK" w:cs="方正仿宋_GBK"/>
          <w:sz w:val="32"/>
          <w:szCs w:val="32"/>
        </w:rPr>
        <w:t>万元，其中基本支出</w:t>
      </w:r>
      <w:r>
        <w:rPr>
          <w:rFonts w:ascii="Times New Roman" w:hAnsi="Times New Roman" w:eastAsia="方正仿宋_GBK" w:cs="Times New Roman"/>
          <w:sz w:val="32"/>
          <w:szCs w:val="32"/>
        </w:rPr>
        <w:t>11398.19</w:t>
      </w:r>
      <w:r>
        <w:rPr>
          <w:rFonts w:hint="eastAsia" w:ascii="Times New Roman" w:hAnsi="Times New Roman" w:eastAsia="方正仿宋_GBK" w:cs="方正仿宋_GBK"/>
          <w:sz w:val="32"/>
          <w:szCs w:val="32"/>
        </w:rPr>
        <w:t>万元，包括人员经费</w:t>
      </w:r>
      <w:r>
        <w:rPr>
          <w:rFonts w:ascii="Times New Roman" w:hAnsi="Times New Roman" w:eastAsia="方正仿宋_GBK" w:cs="Times New Roman"/>
          <w:sz w:val="32"/>
          <w:szCs w:val="32"/>
        </w:rPr>
        <w:t>8916.69</w:t>
      </w:r>
      <w:r>
        <w:rPr>
          <w:rFonts w:hint="eastAsia" w:ascii="Times New Roman" w:hAnsi="Times New Roman" w:eastAsia="方正仿宋_GBK" w:cs="方正仿宋_GBK"/>
          <w:sz w:val="32"/>
          <w:szCs w:val="32"/>
        </w:rPr>
        <w:t>万元和日常公用经费</w:t>
      </w:r>
      <w:r>
        <w:rPr>
          <w:rFonts w:ascii="Times New Roman" w:hAnsi="Times New Roman" w:eastAsia="方正仿宋_GBK" w:cs="Times New Roman"/>
          <w:sz w:val="32"/>
          <w:szCs w:val="32"/>
        </w:rPr>
        <w:t>2481.5</w:t>
      </w:r>
      <w:r>
        <w:rPr>
          <w:rFonts w:hint="eastAsia" w:ascii="Times New Roman" w:hAnsi="Times New Roman" w:eastAsia="方正仿宋_GBK" w:cs="方正仿宋_GBK"/>
          <w:sz w:val="32"/>
          <w:szCs w:val="32"/>
        </w:rPr>
        <w:t>万元；项目支出</w:t>
      </w:r>
      <w:r>
        <w:rPr>
          <w:rFonts w:ascii="Times New Roman" w:hAnsi="Times New Roman" w:eastAsia="方正仿宋_GBK" w:cs="Times New Roman"/>
          <w:sz w:val="32"/>
          <w:szCs w:val="32"/>
        </w:rPr>
        <w:t>7600</w:t>
      </w:r>
      <w:r>
        <w:rPr>
          <w:rFonts w:hint="eastAsia" w:ascii="Times New Roman" w:hAnsi="Times New Roman" w:eastAsia="方正仿宋_GBK" w:cs="方正仿宋_GBK"/>
          <w:sz w:val="32"/>
          <w:szCs w:val="32"/>
        </w:rPr>
        <w:t>万元，主要为各专项办公室及专项工作经费等。</w:t>
      </w:r>
    </w:p>
    <w:p>
      <w:pPr>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方正仿宋_GBK"/>
          <w:sz w:val="32"/>
          <w:szCs w:val="32"/>
        </w:rPr>
        <w:t>、比上年增减情况</w:t>
      </w:r>
    </w:p>
    <w:p>
      <w:pPr>
        <w:ind w:firstLine="640"/>
        <w:rPr>
          <w:rFonts w:ascii="仿宋_GB2312" w:hAnsi="黑体" w:eastAsia="仿宋_GB2312" w:cs="Times New Roman"/>
          <w:sz w:val="32"/>
          <w:szCs w:val="32"/>
        </w:rPr>
      </w:pPr>
      <w:r>
        <w:rPr>
          <w:rFonts w:ascii="Times New Roman" w:hAnsi="Times New Roman" w:eastAsia="方正仿宋_GBK" w:cs="Times New Roman"/>
          <w:sz w:val="32"/>
          <w:szCs w:val="32"/>
        </w:rPr>
        <w:t>2019</w:t>
      </w:r>
      <w:r>
        <w:rPr>
          <w:rFonts w:hint="eastAsia" w:ascii="Times New Roman" w:hAnsi="Times New Roman" w:eastAsia="方正仿宋_GBK" w:cs="方正仿宋_GBK"/>
          <w:sz w:val="32"/>
          <w:szCs w:val="32"/>
        </w:rPr>
        <w:t>年预算收支安排</w:t>
      </w:r>
      <w:r>
        <w:rPr>
          <w:rFonts w:ascii="Times New Roman" w:hAnsi="Times New Roman" w:eastAsia="方正仿宋_GBK" w:cs="Times New Roman"/>
          <w:sz w:val="32"/>
          <w:szCs w:val="32"/>
        </w:rPr>
        <w:t>18998.19</w:t>
      </w:r>
      <w:r>
        <w:rPr>
          <w:rFonts w:hint="eastAsia" w:ascii="Times New Roman" w:hAnsi="Times New Roman" w:eastAsia="方正仿宋_GBK" w:cs="方正仿宋_GBK"/>
          <w:sz w:val="32"/>
          <w:szCs w:val="32"/>
        </w:rPr>
        <w:t>万元，较</w:t>
      </w:r>
      <w:r>
        <w:rPr>
          <w:rFonts w:ascii="Times New Roman" w:hAnsi="Times New Roman" w:eastAsia="方正仿宋_GBK" w:cs="Times New Roman"/>
          <w:sz w:val="32"/>
          <w:szCs w:val="32"/>
        </w:rPr>
        <w:t>2018</w:t>
      </w:r>
      <w:r>
        <w:rPr>
          <w:rFonts w:hint="eastAsia" w:ascii="Times New Roman" w:hAnsi="Times New Roman" w:eastAsia="方正仿宋_GBK" w:cs="方正仿宋_GBK"/>
          <w:sz w:val="32"/>
          <w:szCs w:val="32"/>
        </w:rPr>
        <w:t>年预算增加</w:t>
      </w:r>
      <w:r>
        <w:rPr>
          <w:rFonts w:ascii="Times New Roman" w:hAnsi="Times New Roman" w:eastAsia="方正仿宋_GBK" w:cs="Times New Roman"/>
          <w:sz w:val="32"/>
          <w:szCs w:val="32"/>
        </w:rPr>
        <w:t>7268.76</w:t>
      </w:r>
      <w:r>
        <w:rPr>
          <w:rFonts w:hint="eastAsia" w:ascii="Times New Roman" w:hAnsi="Times New Roman" w:eastAsia="方正仿宋_GBK" w:cs="方正仿宋_GBK"/>
          <w:sz w:val="32"/>
          <w:szCs w:val="32"/>
        </w:rPr>
        <w:t>万元，其中：基本支出增加</w:t>
      </w:r>
      <w:r>
        <w:rPr>
          <w:rFonts w:ascii="Times New Roman" w:hAnsi="Times New Roman" w:eastAsia="方正仿宋_GBK" w:cs="Times New Roman"/>
          <w:sz w:val="32"/>
          <w:szCs w:val="32"/>
        </w:rPr>
        <w:t>98.76</w:t>
      </w:r>
      <w:r>
        <w:rPr>
          <w:rFonts w:hint="eastAsia" w:ascii="Times New Roman" w:hAnsi="Times New Roman" w:eastAsia="方正仿宋_GBK" w:cs="方正仿宋_GBK"/>
          <w:sz w:val="32"/>
          <w:szCs w:val="32"/>
        </w:rPr>
        <w:t>万元，主要原因是：监察体制改革过程中，省检察院划转人员编制，基本支出预算相应增加；项目支出减少</w:t>
      </w:r>
      <w:r>
        <w:rPr>
          <w:rFonts w:ascii="Times New Roman" w:hAnsi="Times New Roman" w:eastAsia="方正仿宋_GBK" w:cs="Times New Roman"/>
          <w:sz w:val="32"/>
          <w:szCs w:val="32"/>
        </w:rPr>
        <w:t>515</w:t>
      </w:r>
      <w:r>
        <w:rPr>
          <w:rFonts w:hint="eastAsia" w:ascii="Times New Roman" w:hAnsi="Times New Roman" w:eastAsia="方正仿宋_GBK" w:cs="方正仿宋_GBK"/>
          <w:sz w:val="32"/>
          <w:szCs w:val="32"/>
        </w:rPr>
        <w:t>万元，主要为减少的监察体制改革过程中的搬迁改造专项经费。</w:t>
      </w:r>
    </w:p>
    <w:p>
      <w:pPr>
        <w:autoSpaceDE w:val="0"/>
        <w:autoSpaceDN w:val="0"/>
        <w:adjustRightInd w:val="0"/>
        <w:ind w:left="198" w:firstLine="640" w:firstLineChars="200"/>
        <w:jc w:val="left"/>
        <w:rPr>
          <w:rFonts w:ascii="黑体" w:hAnsi="黑体" w:eastAsia="黑体" w:cs="Times New Roman"/>
          <w:sz w:val="32"/>
          <w:szCs w:val="32"/>
        </w:rPr>
      </w:pPr>
      <w:r>
        <w:rPr>
          <w:rFonts w:hint="eastAsia" w:ascii="黑体" w:hAnsi="黑体" w:eastAsia="黑体" w:cs="黑体"/>
          <w:sz w:val="32"/>
          <w:szCs w:val="32"/>
        </w:rPr>
        <w:t>三、机关运行经费安排情况</w:t>
      </w:r>
    </w:p>
    <w:p>
      <w:pPr>
        <w:autoSpaceDE w:val="0"/>
        <w:autoSpaceDN w:val="0"/>
        <w:adjustRightInd w:val="0"/>
        <w:ind w:left="198"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2019</w:t>
      </w:r>
      <w:r>
        <w:rPr>
          <w:rFonts w:hint="eastAsia" w:ascii="Times New Roman" w:hAnsi="Times New Roman" w:eastAsia="方正仿宋_GBK" w:cs="方正仿宋_GBK"/>
          <w:sz w:val="32"/>
          <w:szCs w:val="32"/>
        </w:rPr>
        <w:t>年，我委机关运行经费共计安排</w:t>
      </w:r>
      <w:r>
        <w:rPr>
          <w:rFonts w:ascii="Times New Roman" w:hAnsi="Times New Roman" w:eastAsia="方正仿宋_GBK" w:cs="Times New Roman"/>
          <w:sz w:val="32"/>
          <w:szCs w:val="32"/>
        </w:rPr>
        <w:t>2481.5</w:t>
      </w:r>
      <w:r>
        <w:rPr>
          <w:rFonts w:hint="eastAsia" w:ascii="Times New Roman" w:hAnsi="Times New Roman" w:eastAsia="方正仿宋_GBK" w:cs="方正仿宋_GBK"/>
          <w:sz w:val="32"/>
          <w:szCs w:val="32"/>
        </w:rPr>
        <w:t>万元，主要用于办公费、印刷费、邮电费、差旅费、培训费、工会经费、福利费、公务用车运行维护费、交通费等日常运行支出。</w:t>
      </w:r>
    </w:p>
    <w:p>
      <w:pPr>
        <w:autoSpaceDE w:val="0"/>
        <w:autoSpaceDN w:val="0"/>
        <w:adjustRightInd w:val="0"/>
        <w:ind w:left="198" w:firstLine="640" w:firstLineChars="200"/>
        <w:jc w:val="left"/>
        <w:rPr>
          <w:rFonts w:ascii="黑体" w:hAnsi="黑体" w:eastAsia="黑体" w:cs="Times New Roman"/>
          <w:sz w:val="32"/>
          <w:szCs w:val="32"/>
        </w:rPr>
      </w:pPr>
      <w:r>
        <w:rPr>
          <w:rFonts w:hint="eastAsia" w:ascii="黑体" w:hAnsi="黑体" w:eastAsia="黑体" w:cs="黑体"/>
          <w:sz w:val="32"/>
          <w:szCs w:val="32"/>
        </w:rPr>
        <w:t>四、财政拨款“三公”经费预算情况及增减变化原因</w:t>
      </w:r>
    </w:p>
    <w:p>
      <w:pPr>
        <w:autoSpaceDE w:val="0"/>
        <w:autoSpaceDN w:val="0"/>
        <w:adjustRightInd w:val="0"/>
        <w:ind w:left="198"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2019</w:t>
      </w:r>
      <w:r>
        <w:rPr>
          <w:rFonts w:hint="eastAsia" w:ascii="Times New Roman" w:hAnsi="Times New Roman" w:eastAsia="方正仿宋_GBK" w:cs="方正仿宋_GBK"/>
          <w:sz w:val="32"/>
          <w:szCs w:val="32"/>
        </w:rPr>
        <w:t>年，我委财政拨款</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三公</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经费预算安排</w:t>
      </w:r>
      <w:r>
        <w:rPr>
          <w:rFonts w:ascii="Times New Roman" w:hAnsi="Times New Roman" w:eastAsia="方正仿宋_GBK" w:cs="Times New Roman"/>
          <w:sz w:val="32"/>
          <w:szCs w:val="32"/>
        </w:rPr>
        <w:t>473.1</w:t>
      </w:r>
      <w:r>
        <w:rPr>
          <w:rFonts w:hint="eastAsia" w:ascii="Times New Roman" w:hAnsi="Times New Roman" w:eastAsia="方正仿宋_GBK" w:cs="方正仿宋_GBK"/>
          <w:sz w:val="32"/>
          <w:szCs w:val="32"/>
        </w:rPr>
        <w:t>万元，其中因公出国（境）费</w:t>
      </w:r>
      <w:r>
        <w:rPr>
          <w:rFonts w:ascii="Times New Roman" w:hAnsi="Times New Roman" w:eastAsia="方正仿宋_GBK" w:cs="Times New Roman"/>
          <w:sz w:val="32"/>
          <w:szCs w:val="32"/>
        </w:rPr>
        <w:t>30.7</w:t>
      </w:r>
      <w:r>
        <w:rPr>
          <w:rFonts w:hint="eastAsia" w:ascii="Times New Roman" w:hAnsi="Times New Roman" w:eastAsia="方正仿宋_GBK" w:cs="方正仿宋_GBK"/>
          <w:sz w:val="32"/>
          <w:szCs w:val="32"/>
        </w:rPr>
        <w:t>万元；公务用车购置及运维费</w:t>
      </w:r>
      <w:r>
        <w:rPr>
          <w:rFonts w:ascii="Times New Roman" w:hAnsi="Times New Roman" w:eastAsia="方正仿宋_GBK" w:cs="Times New Roman"/>
          <w:sz w:val="32"/>
          <w:szCs w:val="32"/>
        </w:rPr>
        <w:t>432</w:t>
      </w:r>
      <w:r>
        <w:rPr>
          <w:rFonts w:hint="eastAsia" w:ascii="Times New Roman" w:hAnsi="Times New Roman" w:eastAsia="方正仿宋_GBK" w:cs="方正仿宋_GBK"/>
          <w:sz w:val="32"/>
          <w:szCs w:val="32"/>
        </w:rPr>
        <w:t>万元（其中：公务用车购置费为</w:t>
      </w:r>
      <w:r>
        <w:rPr>
          <w:rFonts w:ascii="Times New Roman" w:hAnsi="Times New Roman" w:eastAsia="方正仿宋_GBK" w:cs="Times New Roman"/>
          <w:sz w:val="32"/>
          <w:szCs w:val="32"/>
        </w:rPr>
        <w:t>0</w:t>
      </w:r>
      <w:r>
        <w:rPr>
          <w:rFonts w:hint="eastAsia" w:ascii="Times New Roman" w:hAnsi="Times New Roman" w:eastAsia="方正仿宋_GBK" w:cs="方正仿宋_GBK"/>
          <w:sz w:val="32"/>
          <w:szCs w:val="32"/>
        </w:rPr>
        <w:t>万元，公务用车运维费</w:t>
      </w:r>
      <w:r>
        <w:rPr>
          <w:rFonts w:ascii="Times New Roman" w:hAnsi="Times New Roman" w:eastAsia="方正仿宋_GBK" w:cs="Times New Roman"/>
          <w:sz w:val="32"/>
          <w:szCs w:val="32"/>
        </w:rPr>
        <w:t>432</w:t>
      </w:r>
      <w:r>
        <w:rPr>
          <w:rFonts w:hint="eastAsia" w:ascii="Times New Roman" w:hAnsi="Times New Roman" w:eastAsia="方正仿宋_GBK" w:cs="方正仿宋_GBK"/>
          <w:sz w:val="32"/>
          <w:szCs w:val="32"/>
        </w:rPr>
        <w:t>万元</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；公务接待费</w:t>
      </w:r>
      <w:r>
        <w:rPr>
          <w:rFonts w:ascii="Times New Roman" w:hAnsi="Times New Roman" w:eastAsia="方正仿宋_GBK" w:cs="Times New Roman"/>
          <w:sz w:val="32"/>
          <w:szCs w:val="32"/>
        </w:rPr>
        <w:t>10.4</w:t>
      </w:r>
      <w:r>
        <w:rPr>
          <w:rFonts w:hint="eastAsia" w:ascii="Times New Roman" w:hAnsi="Times New Roman" w:eastAsia="方正仿宋_GBK" w:cs="方正仿宋_GBK"/>
          <w:sz w:val="32"/>
          <w:szCs w:val="32"/>
        </w:rPr>
        <w:t>万元。与</w:t>
      </w:r>
      <w:r>
        <w:rPr>
          <w:rFonts w:ascii="Times New Roman" w:hAnsi="Times New Roman" w:eastAsia="方正仿宋_GBK" w:cs="Times New Roman"/>
          <w:sz w:val="32"/>
          <w:szCs w:val="32"/>
        </w:rPr>
        <w:t>2018</w:t>
      </w:r>
      <w:r>
        <w:rPr>
          <w:rFonts w:hint="eastAsia" w:ascii="Times New Roman" w:hAnsi="Times New Roman" w:eastAsia="方正仿宋_GBK" w:cs="方正仿宋_GBK"/>
          <w:sz w:val="32"/>
          <w:szCs w:val="32"/>
        </w:rPr>
        <w:t>年相比增加</w:t>
      </w:r>
      <w:r>
        <w:rPr>
          <w:rFonts w:ascii="Times New Roman" w:hAnsi="Times New Roman" w:eastAsia="方正仿宋_GBK" w:cs="Times New Roman"/>
          <w:sz w:val="32"/>
          <w:szCs w:val="32"/>
        </w:rPr>
        <w:t>79</w:t>
      </w:r>
      <w:r>
        <w:rPr>
          <w:rFonts w:hint="eastAsia" w:ascii="Times New Roman" w:hAnsi="Times New Roman" w:eastAsia="方正仿宋_GBK" w:cs="方正仿宋_GBK"/>
          <w:sz w:val="32"/>
          <w:szCs w:val="32"/>
        </w:rPr>
        <w:t>万元，增加的主要原因是：监察体制改革过程中，省检察院划转执法执勤车辆十三辆，公务用车运行费随之有所增加。</w:t>
      </w:r>
    </w:p>
    <w:p>
      <w:pPr>
        <w:ind w:firstLine="640"/>
        <w:rPr>
          <w:rFonts w:ascii="黑体" w:hAnsi="黑体" w:eastAsia="黑体" w:cs="Times New Roman"/>
          <w:sz w:val="32"/>
          <w:szCs w:val="32"/>
        </w:rPr>
      </w:pPr>
      <w:r>
        <w:rPr>
          <w:rFonts w:hint="eastAsia" w:ascii="黑体" w:hAnsi="黑体" w:eastAsia="黑体" w:cs="黑体"/>
          <w:sz w:val="32"/>
          <w:szCs w:val="32"/>
        </w:rPr>
        <w:t>五、绩效预算信息</w:t>
      </w:r>
    </w:p>
    <w:p>
      <w:pPr>
        <w:adjustRightInd w:val="0"/>
        <w:snapToGrid w:val="0"/>
        <w:spacing w:line="500" w:lineRule="exact"/>
        <w:ind w:firstLine="562" w:firstLineChars="200"/>
        <w:jc w:val="left"/>
        <w:rPr>
          <w:rFonts w:ascii="Times New Roman" w:hAnsi="Times New Roman" w:eastAsia="方正楷体_GBK" w:cs="Times New Roman"/>
          <w:b/>
          <w:bCs/>
          <w:sz w:val="28"/>
          <w:szCs w:val="28"/>
        </w:rPr>
      </w:pPr>
      <w:r>
        <w:rPr>
          <w:rFonts w:hint="eastAsia" w:ascii="Times New Roman" w:hAnsi="Times New Roman" w:eastAsia="方正楷体_GBK" w:cs="方正楷体_GBK"/>
          <w:b/>
          <w:bCs/>
          <w:sz w:val="28"/>
          <w:szCs w:val="28"/>
        </w:rPr>
        <w:t>总体目标：</w:t>
      </w:r>
    </w:p>
    <w:p>
      <w:pPr>
        <w:adjustRightInd w:val="0"/>
        <w:snapToGrid w:val="0"/>
        <w:spacing w:line="580" w:lineRule="exact"/>
        <w:ind w:firstLine="561"/>
        <w:rPr>
          <w:rFonts w:ascii="仿宋" w:hAnsi="仿宋" w:eastAsia="仿宋" w:cs="Times New Roman"/>
          <w:sz w:val="32"/>
          <w:szCs w:val="32"/>
        </w:rPr>
      </w:pPr>
      <w:r>
        <w:rPr>
          <w:rFonts w:hint="eastAsia" w:ascii="仿宋" w:hAnsi="仿宋" w:eastAsia="仿宋" w:cs="仿宋"/>
          <w:sz w:val="32"/>
          <w:szCs w:val="32"/>
        </w:rPr>
        <w:t>深入学习贯彻党的十九大精神，紧密团结在以习近平同志为核心的党中央周围，坚持以习近平新时代</w:t>
      </w:r>
      <w:bookmarkStart w:id="1" w:name="_GoBack"/>
      <w:bookmarkEnd w:id="1"/>
      <w:r>
        <w:rPr>
          <w:rFonts w:hint="eastAsia" w:ascii="仿宋" w:hAnsi="仿宋" w:eastAsia="仿宋" w:cs="仿宋"/>
          <w:sz w:val="32"/>
          <w:szCs w:val="32"/>
        </w:rPr>
        <w:t>中国特色社会主义思想为统领，自觉践行“四个意识”，牢固树立“四个自信”，不忘初心、牢记使命，着力加强监督检查，持之以恒正风肃纪，深化运用“四种形态”、把纪律和规矩挺在前面，强化监督执纪问责、始终保持反腐败高压态势，坚持标本兼治，深化“三不”机制，坚定不移推动全面从严治党、党风廉政建设和反腐败斗争向纵深发展，为落实党的十九大部署，奋力开创新时代全面建设经济强省、美丽河北新局面提供坚强政治保证。</w:t>
      </w:r>
    </w:p>
    <w:p>
      <w:pPr>
        <w:adjustRightInd w:val="0"/>
        <w:snapToGrid w:val="0"/>
        <w:spacing w:line="500" w:lineRule="exact"/>
        <w:ind w:firstLine="562" w:firstLineChars="200"/>
        <w:jc w:val="left"/>
        <w:rPr>
          <w:rFonts w:ascii="Times New Roman" w:hAnsi="Times New Roman" w:eastAsia="方正楷体_GBK" w:cs="Times New Roman"/>
          <w:b/>
          <w:bCs/>
          <w:sz w:val="28"/>
          <w:szCs w:val="28"/>
        </w:rPr>
      </w:pPr>
      <w:r>
        <w:rPr>
          <w:rFonts w:hint="eastAsia" w:ascii="Times New Roman" w:hAnsi="Times New Roman" w:eastAsia="方正楷体_GBK" w:cs="方正楷体_GBK"/>
          <w:b/>
          <w:bCs/>
          <w:sz w:val="28"/>
          <w:szCs w:val="28"/>
        </w:rPr>
        <w:t>职责分类绩效目标：</w:t>
      </w:r>
    </w:p>
    <w:p>
      <w:pPr>
        <w:adjustRightInd w:val="0"/>
        <w:snapToGrid w:val="0"/>
        <w:spacing w:line="580" w:lineRule="exact"/>
        <w:ind w:firstLine="561"/>
        <w:rPr>
          <w:rFonts w:ascii="仿宋" w:hAnsi="仿宋" w:eastAsia="仿宋" w:cs="Times New Roman"/>
          <w:sz w:val="32"/>
          <w:szCs w:val="32"/>
        </w:rPr>
      </w:pPr>
      <w:r>
        <w:rPr>
          <w:rFonts w:hint="eastAsia" w:ascii="仿宋" w:hAnsi="仿宋" w:eastAsia="仿宋" w:cs="仿宋"/>
          <w:sz w:val="32"/>
          <w:szCs w:val="32"/>
        </w:rPr>
        <w:t>（一）办案问责方面。维护党纪国法尊严，坚决惩处腐败分子，有效遏制腐败现象。</w:t>
      </w:r>
    </w:p>
    <w:p>
      <w:pPr>
        <w:adjustRightInd w:val="0"/>
        <w:snapToGrid w:val="0"/>
        <w:spacing w:line="580" w:lineRule="exact"/>
        <w:ind w:firstLine="561"/>
        <w:rPr>
          <w:rFonts w:ascii="仿宋" w:hAnsi="仿宋" w:eastAsia="仿宋" w:cs="Times New Roman"/>
          <w:sz w:val="32"/>
          <w:szCs w:val="32"/>
        </w:rPr>
      </w:pPr>
      <w:r>
        <w:rPr>
          <w:rFonts w:hint="eastAsia" w:ascii="仿宋" w:hAnsi="仿宋" w:eastAsia="仿宋" w:cs="仿宋"/>
          <w:sz w:val="32"/>
          <w:szCs w:val="32"/>
        </w:rPr>
        <w:t>（二）监督检查及巡视督查方面。加大问责力度，促进“两个责任”有效落实；巡视监督常态化、全覆盖。</w:t>
      </w:r>
    </w:p>
    <w:p>
      <w:pPr>
        <w:adjustRightInd w:val="0"/>
        <w:snapToGrid w:val="0"/>
        <w:spacing w:line="580" w:lineRule="exact"/>
        <w:ind w:firstLine="561"/>
        <w:rPr>
          <w:rFonts w:ascii="仿宋" w:hAnsi="仿宋" w:eastAsia="仿宋" w:cs="Times New Roman"/>
          <w:sz w:val="32"/>
          <w:szCs w:val="32"/>
        </w:rPr>
      </w:pPr>
      <w:r>
        <w:rPr>
          <w:rFonts w:hint="eastAsia" w:ascii="仿宋" w:hAnsi="仿宋" w:eastAsia="仿宋" w:cs="仿宋"/>
          <w:sz w:val="32"/>
          <w:szCs w:val="32"/>
        </w:rPr>
        <w:t>（三）党风廉政建设方面。积极发挥职能作用，加强党风廉政建设，营造风清气正、干事创业的工作氛围。</w:t>
      </w:r>
    </w:p>
    <w:p>
      <w:pPr>
        <w:adjustRightInd w:val="0"/>
        <w:snapToGrid w:val="0"/>
        <w:spacing w:line="580" w:lineRule="exact"/>
        <w:ind w:firstLine="561"/>
        <w:rPr>
          <w:rFonts w:ascii="仿宋" w:hAnsi="仿宋" w:eastAsia="仿宋" w:cs="Times New Roman"/>
          <w:sz w:val="32"/>
          <w:szCs w:val="32"/>
        </w:rPr>
      </w:pPr>
      <w:r>
        <w:rPr>
          <w:rFonts w:hint="eastAsia" w:ascii="仿宋" w:hAnsi="仿宋" w:eastAsia="仿宋" w:cs="仿宋"/>
          <w:sz w:val="32"/>
          <w:szCs w:val="32"/>
        </w:rPr>
        <w:t>（四）纪检监察事务管理方面。持续深化“三转”，做好“监督执纪问责”主业的保障和服务工作。</w:t>
      </w:r>
    </w:p>
    <w:p>
      <w:pPr>
        <w:adjustRightInd w:val="0"/>
        <w:snapToGrid w:val="0"/>
        <w:spacing w:line="580" w:lineRule="exact"/>
        <w:ind w:firstLine="561"/>
        <w:rPr>
          <w:rFonts w:ascii="仿宋" w:hAnsi="仿宋" w:eastAsia="仿宋" w:cs="Times New Roman"/>
          <w:sz w:val="32"/>
          <w:szCs w:val="32"/>
        </w:rPr>
      </w:pPr>
      <w:r>
        <w:rPr>
          <w:rFonts w:hint="eastAsia" w:ascii="仿宋" w:hAnsi="仿宋" w:eastAsia="仿宋" w:cs="仿宋"/>
          <w:sz w:val="32"/>
          <w:szCs w:val="32"/>
        </w:rPr>
        <w:t>（五）派驻纪检监察机构管理方面。加强全省纪检监察系统领导班子、干部队伍和组织建设，打造一支高素质、高水平的纪检监察干部队伍。</w:t>
      </w:r>
    </w:p>
    <w:p>
      <w:pPr>
        <w:autoSpaceDE w:val="0"/>
        <w:autoSpaceDN w:val="0"/>
        <w:adjustRightInd w:val="0"/>
        <w:ind w:firstLine="640" w:firstLineChars="200"/>
        <w:jc w:val="left"/>
        <w:rPr>
          <w:rFonts w:ascii="黑体" w:hAnsi="黑体" w:eastAsia="黑体" w:cs="Times New Roman"/>
          <w:sz w:val="32"/>
          <w:szCs w:val="32"/>
        </w:rPr>
      </w:pPr>
      <w:r>
        <w:rPr>
          <w:rFonts w:hint="eastAsia" w:ascii="黑体" w:hAnsi="黑体" w:eastAsia="黑体" w:cs="黑体"/>
          <w:sz w:val="32"/>
          <w:szCs w:val="32"/>
        </w:rPr>
        <w:t>六、政府采购预算情况</w:t>
      </w:r>
    </w:p>
    <w:p>
      <w:pPr>
        <w:autoSpaceDE w:val="0"/>
        <w:autoSpaceDN w:val="0"/>
        <w:adjustRightInd w:val="0"/>
        <w:ind w:firstLine="640" w:firstLineChars="200"/>
        <w:jc w:val="left"/>
        <w:rPr>
          <w:rFonts w:ascii="黑体" w:hAnsi="黑体" w:eastAsia="黑体" w:cs="Times New Roman"/>
          <w:sz w:val="32"/>
          <w:szCs w:val="32"/>
        </w:rPr>
      </w:pPr>
      <w:bookmarkStart w:id="0" w:name="_Toc471398468"/>
      <w:r>
        <w:rPr>
          <w:rFonts w:ascii="Times New Roman" w:hAnsi="Times New Roman" w:eastAsia="方正仿宋_GBK" w:cs="Times New Roman"/>
          <w:sz w:val="32"/>
          <w:szCs w:val="32"/>
        </w:rPr>
        <w:t>2019</w:t>
      </w:r>
      <w:r>
        <w:rPr>
          <w:rFonts w:hint="eastAsia" w:ascii="Times New Roman" w:hAnsi="Times New Roman" w:eastAsia="方正仿宋_GBK" w:cs="方正仿宋_GBK"/>
          <w:sz w:val="32"/>
          <w:szCs w:val="32"/>
        </w:rPr>
        <w:t>年，我委未安排政府采购预算</w:t>
      </w:r>
      <w:bookmarkEnd w:id="0"/>
      <w:r>
        <w:rPr>
          <w:rFonts w:hint="eastAsia" w:ascii="Times New Roman" w:hAnsi="Times New Roman" w:eastAsia="方正仿宋_GBK" w:cs="方正仿宋_GBK"/>
          <w:sz w:val="32"/>
          <w:szCs w:val="32"/>
        </w:rPr>
        <w:t>。</w:t>
      </w:r>
    </w:p>
    <w:p>
      <w:pPr>
        <w:autoSpaceDE w:val="0"/>
        <w:autoSpaceDN w:val="0"/>
        <w:adjustRightInd w:val="0"/>
        <w:ind w:firstLine="640" w:firstLineChars="200"/>
        <w:jc w:val="left"/>
        <w:rPr>
          <w:rFonts w:ascii="黑体" w:hAnsi="黑体" w:eastAsia="黑体" w:cs="Times New Roman"/>
          <w:sz w:val="32"/>
          <w:szCs w:val="32"/>
        </w:rPr>
      </w:pPr>
      <w:r>
        <w:rPr>
          <w:rFonts w:hint="eastAsia" w:ascii="黑体" w:hAnsi="黑体" w:eastAsia="黑体" w:cs="黑体"/>
          <w:sz w:val="32"/>
          <w:szCs w:val="32"/>
        </w:rPr>
        <w:t>七、国有资产信息</w:t>
      </w:r>
    </w:p>
    <w:p>
      <w:pPr>
        <w:ind w:firstLine="640"/>
        <w:rPr>
          <w:rFonts w:ascii="仿宋_GB2312" w:hAnsi="黑体" w:eastAsia="仿宋_GB2312" w:cs="Times New Roman"/>
          <w:sz w:val="32"/>
          <w:szCs w:val="32"/>
        </w:rPr>
      </w:pPr>
      <w:r>
        <w:rPr>
          <w:rFonts w:hint="eastAsia" w:ascii="仿宋_GB2312" w:hAnsi="黑体" w:eastAsia="仿宋_GB2312" w:cs="仿宋_GB2312"/>
          <w:sz w:val="32"/>
          <w:szCs w:val="32"/>
        </w:rPr>
        <w:t>中共河北省纪委（含所属单位）上年末固定资产金额为</w:t>
      </w:r>
      <w:r>
        <w:rPr>
          <w:rFonts w:ascii="仿宋_GB2312" w:hAnsi="黑体" w:eastAsia="仿宋_GB2312" w:cs="仿宋_GB2312"/>
          <w:sz w:val="32"/>
          <w:szCs w:val="32"/>
        </w:rPr>
        <w:t>3475.33</w:t>
      </w:r>
      <w:r>
        <w:rPr>
          <w:rFonts w:hint="eastAsia" w:ascii="仿宋_GB2312" w:hAnsi="黑体" w:eastAsia="仿宋_GB2312" w:cs="仿宋_GB2312"/>
          <w:sz w:val="32"/>
          <w:szCs w:val="32"/>
        </w:rPr>
        <w:t>万元（</w:t>
      </w:r>
      <w:r>
        <w:rPr>
          <w:rFonts w:hint="eastAsia" w:ascii="Times New Roman" w:hAnsi="Times New Roman" w:eastAsia="方正仿宋_GBK" w:cs="方正仿宋_GBK"/>
          <w:sz w:val="32"/>
          <w:szCs w:val="32"/>
        </w:rPr>
        <w:t>详见下表），</w:t>
      </w:r>
      <w:r>
        <w:rPr>
          <w:rFonts w:hint="eastAsia" w:ascii="仿宋_GB2312" w:hAnsi="黑体" w:eastAsia="仿宋_GB2312" w:cs="仿宋_GB2312"/>
          <w:sz w:val="32"/>
          <w:szCs w:val="32"/>
        </w:rPr>
        <w:t>本年度拟购置新增资产预算为零。</w:t>
      </w:r>
    </w:p>
    <w:tbl>
      <w:tblPr>
        <w:tblStyle w:val="8"/>
        <w:tblW w:w="13482" w:type="dxa"/>
        <w:tblInd w:w="-10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5224"/>
        <w:gridCol w:w="3155"/>
        <w:gridCol w:w="51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705" w:hRule="atLeast"/>
        </w:trPr>
        <w:tc>
          <w:tcPr>
            <w:tcW w:w="13482" w:type="dxa"/>
            <w:gridSpan w:val="3"/>
            <w:tcBorders>
              <w:top w:val="nil"/>
              <w:left w:val="nil"/>
              <w:bottom w:val="nil"/>
              <w:right w:val="nil"/>
            </w:tcBorders>
            <w:vAlign w:val="center"/>
          </w:tcPr>
          <w:p>
            <w:pPr>
              <w:widowControl/>
              <w:jc w:val="center"/>
              <w:rPr>
                <w:rFonts w:ascii="宋体" w:cs="Times New Roman"/>
                <w:b/>
                <w:bCs/>
                <w:kern w:val="0"/>
                <w:sz w:val="32"/>
                <w:szCs w:val="32"/>
              </w:rPr>
            </w:pPr>
            <w:r>
              <w:rPr>
                <w:rFonts w:hint="eastAsia" w:ascii="宋体" w:hAnsi="宋体" w:cs="宋体"/>
                <w:b/>
                <w:bCs/>
                <w:kern w:val="0"/>
                <w:sz w:val="32"/>
                <w:szCs w:val="32"/>
              </w:rPr>
              <w:t>河北省省直部门固定资产占用情况表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10" w:hRule="atLeast"/>
        </w:trPr>
        <w:tc>
          <w:tcPr>
            <w:tcW w:w="8379" w:type="dxa"/>
            <w:gridSpan w:val="2"/>
            <w:tcBorders>
              <w:top w:val="nil"/>
              <w:left w:val="nil"/>
              <w:bottom w:val="nil"/>
              <w:right w:val="nil"/>
            </w:tcBorders>
            <w:vAlign w:val="center"/>
          </w:tcPr>
          <w:p>
            <w:pPr>
              <w:widowControl/>
              <w:jc w:val="left"/>
              <w:rPr>
                <w:rFonts w:ascii="宋体" w:cs="Times New Roman"/>
                <w:kern w:val="0"/>
                <w:sz w:val="22"/>
              </w:rPr>
            </w:pPr>
            <w:r>
              <w:rPr>
                <w:rFonts w:hint="eastAsia" w:ascii="宋体" w:hAnsi="宋体" w:cs="宋体"/>
                <w:kern w:val="0"/>
                <w:sz w:val="22"/>
                <w:szCs w:val="22"/>
              </w:rPr>
              <w:t>编制部门：中共河北省纪委</w:t>
            </w:r>
          </w:p>
        </w:tc>
        <w:tc>
          <w:tcPr>
            <w:tcW w:w="5103" w:type="dxa"/>
            <w:tcBorders>
              <w:top w:val="nil"/>
              <w:left w:val="nil"/>
              <w:bottom w:val="nil"/>
              <w:right w:val="nil"/>
            </w:tcBorders>
            <w:vAlign w:val="center"/>
          </w:tcPr>
          <w:p>
            <w:pPr>
              <w:widowControl/>
              <w:jc w:val="left"/>
              <w:rPr>
                <w:rFonts w:ascii="宋体" w:cs="Times New Roman"/>
                <w:kern w:val="0"/>
                <w:sz w:val="22"/>
              </w:rPr>
            </w:pPr>
            <w:r>
              <w:rPr>
                <w:rFonts w:hint="eastAsia" w:ascii="宋体" w:hAnsi="宋体" w:cs="宋体"/>
                <w:kern w:val="0"/>
                <w:sz w:val="22"/>
                <w:szCs w:val="22"/>
              </w:rPr>
              <w:t>截止时间：</w:t>
            </w:r>
            <w:r>
              <w:rPr>
                <w:rFonts w:ascii="宋体" w:hAnsi="宋体" w:cs="宋体"/>
                <w:kern w:val="0"/>
                <w:sz w:val="22"/>
                <w:szCs w:val="22"/>
              </w:rPr>
              <w:t>2018</w:t>
            </w:r>
            <w:r>
              <w:rPr>
                <w:rFonts w:hint="eastAsia" w:ascii="宋体" w:hAnsi="宋体" w:cs="宋体"/>
                <w:kern w:val="0"/>
                <w:sz w:val="22"/>
                <w:szCs w:val="22"/>
              </w:rPr>
              <w:t>年</w:t>
            </w:r>
            <w:r>
              <w:rPr>
                <w:rFonts w:ascii="宋体" w:hAnsi="宋体" w:cs="宋体"/>
                <w:kern w:val="0"/>
                <w:sz w:val="22"/>
                <w:szCs w:val="22"/>
              </w:rPr>
              <w:t>12</w:t>
            </w:r>
            <w:r>
              <w:rPr>
                <w:rFonts w:hint="eastAsia" w:ascii="宋体" w:hAnsi="宋体" w:cs="宋体"/>
                <w:kern w:val="0"/>
                <w:sz w:val="22"/>
                <w:szCs w:val="22"/>
              </w:rPr>
              <w:t>月</w:t>
            </w:r>
            <w:r>
              <w:rPr>
                <w:rFonts w:ascii="宋体" w:hAnsi="宋体" w:cs="宋体"/>
                <w:kern w:val="0"/>
                <w:sz w:val="22"/>
                <w:szCs w:val="22"/>
              </w:rPr>
              <w:t>31</w:t>
            </w:r>
            <w:r>
              <w:rPr>
                <w:rFonts w:hint="eastAsia" w:ascii="宋体" w:hAnsi="宋体" w:cs="宋体"/>
                <w:kern w:val="0"/>
                <w:sz w:val="22"/>
                <w:szCs w:val="22"/>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39" w:hRule="atLeast"/>
        </w:trPr>
        <w:tc>
          <w:tcPr>
            <w:tcW w:w="52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b/>
                <w:bCs/>
                <w:kern w:val="0"/>
                <w:sz w:val="22"/>
              </w:rPr>
            </w:pPr>
            <w:r>
              <w:rPr>
                <w:rFonts w:hint="eastAsia" w:ascii="宋体" w:hAnsi="宋体" w:cs="宋体"/>
                <w:b/>
                <w:bCs/>
                <w:kern w:val="0"/>
                <w:sz w:val="22"/>
                <w:szCs w:val="22"/>
              </w:rPr>
              <w:t>项目</w:t>
            </w:r>
          </w:p>
        </w:tc>
        <w:tc>
          <w:tcPr>
            <w:tcW w:w="3155" w:type="dxa"/>
            <w:tcBorders>
              <w:top w:val="single" w:color="auto" w:sz="4" w:space="0"/>
              <w:left w:val="nil"/>
              <w:bottom w:val="single" w:color="auto" w:sz="4" w:space="0"/>
              <w:right w:val="single" w:color="auto" w:sz="4" w:space="0"/>
            </w:tcBorders>
            <w:vAlign w:val="center"/>
          </w:tcPr>
          <w:p>
            <w:pPr>
              <w:widowControl/>
              <w:jc w:val="center"/>
              <w:rPr>
                <w:rFonts w:ascii="宋体" w:cs="Times New Roman"/>
                <w:b/>
                <w:bCs/>
                <w:kern w:val="0"/>
                <w:sz w:val="22"/>
              </w:rPr>
            </w:pPr>
            <w:r>
              <w:rPr>
                <w:rFonts w:hint="eastAsia" w:ascii="宋体" w:hAnsi="宋体" w:cs="宋体"/>
                <w:b/>
                <w:bCs/>
                <w:kern w:val="0"/>
                <w:sz w:val="22"/>
                <w:szCs w:val="22"/>
              </w:rPr>
              <w:t>数量</w:t>
            </w:r>
          </w:p>
        </w:tc>
        <w:tc>
          <w:tcPr>
            <w:tcW w:w="5103" w:type="dxa"/>
            <w:tcBorders>
              <w:top w:val="single" w:color="auto" w:sz="4" w:space="0"/>
              <w:left w:val="nil"/>
              <w:bottom w:val="single" w:color="auto" w:sz="4" w:space="0"/>
              <w:right w:val="single" w:color="auto" w:sz="4" w:space="0"/>
            </w:tcBorders>
            <w:vAlign w:val="center"/>
          </w:tcPr>
          <w:p>
            <w:pPr>
              <w:widowControl/>
              <w:jc w:val="center"/>
              <w:rPr>
                <w:rFonts w:ascii="宋体" w:cs="Times New Roman"/>
                <w:b/>
                <w:bCs/>
                <w:kern w:val="0"/>
                <w:sz w:val="22"/>
              </w:rPr>
            </w:pPr>
            <w:r>
              <w:rPr>
                <w:rFonts w:hint="eastAsia" w:ascii="宋体" w:hAnsi="宋体" w:cs="宋体"/>
                <w:b/>
                <w:bCs/>
                <w:kern w:val="0"/>
                <w:sz w:val="22"/>
                <w:szCs w:val="22"/>
              </w:rPr>
              <w:t>价值（金额单位：万元）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39" w:hRule="atLeast"/>
        </w:trPr>
        <w:tc>
          <w:tcPr>
            <w:tcW w:w="5224" w:type="dxa"/>
            <w:tcBorders>
              <w:top w:val="nil"/>
              <w:left w:val="single" w:color="auto" w:sz="4" w:space="0"/>
              <w:bottom w:val="single" w:color="auto" w:sz="4" w:space="0"/>
              <w:right w:val="single" w:color="auto" w:sz="4" w:space="0"/>
            </w:tcBorders>
            <w:vAlign w:val="center"/>
          </w:tcPr>
          <w:p>
            <w:pPr>
              <w:widowControl/>
              <w:jc w:val="center"/>
              <w:rPr>
                <w:rFonts w:ascii="宋体" w:cs="Times New Roman"/>
                <w:kern w:val="0"/>
                <w:sz w:val="22"/>
              </w:rPr>
            </w:pPr>
            <w:r>
              <w:rPr>
                <w:rFonts w:hint="eastAsia" w:ascii="宋体" w:hAnsi="宋体" w:cs="宋体"/>
                <w:kern w:val="0"/>
                <w:sz w:val="22"/>
                <w:szCs w:val="22"/>
              </w:rPr>
              <w:t>资产总额</w:t>
            </w:r>
          </w:p>
        </w:tc>
        <w:tc>
          <w:tcPr>
            <w:tcW w:w="3155" w:type="dxa"/>
            <w:tcBorders>
              <w:top w:val="nil"/>
              <w:left w:val="nil"/>
              <w:bottom w:val="single" w:color="auto" w:sz="4" w:space="0"/>
              <w:right w:val="single" w:color="auto" w:sz="4" w:space="0"/>
            </w:tcBorders>
            <w:vAlign w:val="center"/>
          </w:tcPr>
          <w:p>
            <w:pPr>
              <w:widowControl/>
              <w:jc w:val="center"/>
              <w:rPr>
                <w:rFonts w:ascii="宋体" w:cs="Times New Roman"/>
                <w:kern w:val="0"/>
                <w:sz w:val="22"/>
              </w:rPr>
            </w:pPr>
            <w:r>
              <w:rPr>
                <w:rFonts w:ascii="宋体" w:hAnsi="宋体" w:cs="宋体"/>
                <w:kern w:val="0"/>
                <w:sz w:val="22"/>
                <w:szCs w:val="22"/>
              </w:rPr>
              <w:t>——</w:t>
            </w:r>
          </w:p>
        </w:tc>
        <w:tc>
          <w:tcPr>
            <w:tcW w:w="5103" w:type="dxa"/>
            <w:tcBorders>
              <w:top w:val="nil"/>
              <w:left w:val="nil"/>
              <w:bottom w:val="single" w:color="auto" w:sz="4" w:space="0"/>
              <w:right w:val="single" w:color="auto" w:sz="4" w:space="0"/>
            </w:tcBorders>
            <w:vAlign w:val="center"/>
          </w:tcPr>
          <w:p>
            <w:pPr>
              <w:widowControl/>
              <w:jc w:val="center"/>
              <w:rPr>
                <w:rFonts w:ascii="宋体" w:cs="Times New Roman"/>
                <w:kern w:val="0"/>
                <w:sz w:val="22"/>
              </w:rPr>
            </w:pPr>
            <w:r>
              <w:rPr>
                <w:rFonts w:ascii="宋体" w:hAnsi="宋体" w:cs="宋体"/>
                <w:kern w:val="0"/>
                <w:sz w:val="22"/>
                <w:szCs w:val="22"/>
              </w:rPr>
              <w:t>3475.33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39" w:hRule="atLeast"/>
        </w:trPr>
        <w:tc>
          <w:tcPr>
            <w:tcW w:w="5224" w:type="dxa"/>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2"/>
              </w:rPr>
            </w:pPr>
            <w:r>
              <w:rPr>
                <w:rFonts w:ascii="宋体" w:hAnsi="宋体" w:cs="宋体"/>
                <w:kern w:val="0"/>
                <w:sz w:val="22"/>
                <w:szCs w:val="22"/>
              </w:rPr>
              <w:t>1</w:t>
            </w:r>
            <w:r>
              <w:rPr>
                <w:rFonts w:hint="eastAsia" w:ascii="宋体" w:hAnsi="宋体" w:cs="宋体"/>
                <w:kern w:val="0"/>
                <w:sz w:val="22"/>
                <w:szCs w:val="22"/>
              </w:rPr>
              <w:t>、房屋（平方米）</w:t>
            </w:r>
          </w:p>
        </w:tc>
        <w:tc>
          <w:tcPr>
            <w:tcW w:w="3155" w:type="dxa"/>
            <w:tcBorders>
              <w:top w:val="nil"/>
              <w:left w:val="nil"/>
              <w:bottom w:val="single" w:color="auto" w:sz="4" w:space="0"/>
              <w:right w:val="single" w:color="auto" w:sz="4" w:space="0"/>
            </w:tcBorders>
            <w:vAlign w:val="center"/>
          </w:tcPr>
          <w:p>
            <w:pPr>
              <w:widowControl/>
              <w:jc w:val="center"/>
              <w:rPr>
                <w:rFonts w:ascii="宋体" w:cs="Times New Roman"/>
                <w:kern w:val="0"/>
                <w:sz w:val="22"/>
              </w:rPr>
            </w:pPr>
            <w:r>
              <w:rPr>
                <w:rFonts w:ascii="宋体" w:hAnsi="宋体" w:cs="宋体"/>
                <w:kern w:val="0"/>
                <w:sz w:val="22"/>
                <w:szCs w:val="22"/>
              </w:rPr>
              <w:t>13705</w:t>
            </w:r>
          </w:p>
        </w:tc>
        <w:tc>
          <w:tcPr>
            <w:tcW w:w="5103" w:type="dxa"/>
            <w:tcBorders>
              <w:top w:val="nil"/>
              <w:left w:val="nil"/>
              <w:bottom w:val="single" w:color="auto" w:sz="4" w:space="0"/>
              <w:right w:val="single" w:color="auto" w:sz="4" w:space="0"/>
            </w:tcBorders>
            <w:vAlign w:val="center"/>
          </w:tcPr>
          <w:p>
            <w:pPr>
              <w:widowControl/>
              <w:jc w:val="center"/>
              <w:rPr>
                <w:rFonts w:ascii="宋体" w:cs="Times New Roman"/>
                <w:kern w:val="0"/>
                <w:sz w:val="22"/>
              </w:rPr>
            </w:pPr>
            <w:r>
              <w:rPr>
                <w:rFonts w:ascii="宋体" w:hAnsi="宋体" w:cs="宋体"/>
                <w:kern w:val="0"/>
                <w:sz w:val="22"/>
                <w:szCs w:val="22"/>
              </w:rPr>
              <w:t>738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39" w:hRule="atLeast"/>
        </w:trPr>
        <w:tc>
          <w:tcPr>
            <w:tcW w:w="5224" w:type="dxa"/>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2"/>
              </w:rPr>
            </w:pPr>
            <w:r>
              <w:rPr>
                <w:rFonts w:hint="eastAsia" w:ascii="宋体" w:hAnsi="宋体" w:cs="宋体"/>
                <w:kern w:val="0"/>
                <w:sz w:val="22"/>
                <w:szCs w:val="22"/>
              </w:rPr>
              <w:t>其中：办公用房（平方米）</w:t>
            </w:r>
          </w:p>
        </w:tc>
        <w:tc>
          <w:tcPr>
            <w:tcW w:w="3155" w:type="dxa"/>
            <w:tcBorders>
              <w:top w:val="nil"/>
              <w:left w:val="nil"/>
              <w:bottom w:val="single" w:color="auto" w:sz="4" w:space="0"/>
              <w:right w:val="single" w:color="auto" w:sz="4" w:space="0"/>
            </w:tcBorders>
            <w:vAlign w:val="center"/>
          </w:tcPr>
          <w:p>
            <w:pPr>
              <w:widowControl/>
              <w:jc w:val="center"/>
              <w:rPr>
                <w:rFonts w:ascii="宋体" w:cs="Times New Roman"/>
                <w:kern w:val="0"/>
                <w:sz w:val="22"/>
              </w:rPr>
            </w:pPr>
            <w:r>
              <w:rPr>
                <w:rFonts w:ascii="宋体" w:hAnsi="宋体" w:cs="宋体"/>
                <w:kern w:val="0"/>
                <w:sz w:val="22"/>
                <w:szCs w:val="22"/>
              </w:rPr>
              <w:t>13705</w:t>
            </w:r>
          </w:p>
        </w:tc>
        <w:tc>
          <w:tcPr>
            <w:tcW w:w="5103" w:type="dxa"/>
            <w:tcBorders>
              <w:top w:val="nil"/>
              <w:left w:val="nil"/>
              <w:bottom w:val="single" w:color="auto" w:sz="4" w:space="0"/>
              <w:right w:val="single" w:color="auto" w:sz="4" w:space="0"/>
            </w:tcBorders>
            <w:vAlign w:val="center"/>
          </w:tcPr>
          <w:p>
            <w:pPr>
              <w:widowControl/>
              <w:jc w:val="center"/>
              <w:rPr>
                <w:rFonts w:ascii="宋体" w:cs="Times New Roman"/>
                <w:kern w:val="0"/>
                <w:sz w:val="22"/>
              </w:rPr>
            </w:pPr>
            <w:r>
              <w:rPr>
                <w:rFonts w:ascii="宋体" w:hAnsi="宋体" w:cs="宋体"/>
                <w:kern w:val="0"/>
                <w:sz w:val="22"/>
                <w:szCs w:val="22"/>
              </w:rPr>
              <w:t>738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39" w:hRule="atLeast"/>
        </w:trPr>
        <w:tc>
          <w:tcPr>
            <w:tcW w:w="5224" w:type="dxa"/>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2"/>
              </w:rPr>
            </w:pPr>
            <w:r>
              <w:rPr>
                <w:rFonts w:ascii="宋体" w:hAnsi="宋体" w:cs="宋体"/>
                <w:kern w:val="0"/>
                <w:sz w:val="22"/>
                <w:szCs w:val="22"/>
              </w:rPr>
              <w:t>2</w:t>
            </w:r>
            <w:r>
              <w:rPr>
                <w:rFonts w:hint="eastAsia" w:ascii="宋体" w:hAnsi="宋体" w:cs="宋体"/>
                <w:kern w:val="0"/>
                <w:sz w:val="22"/>
                <w:szCs w:val="22"/>
              </w:rPr>
              <w:t>、车辆（台、辆）</w:t>
            </w:r>
          </w:p>
        </w:tc>
        <w:tc>
          <w:tcPr>
            <w:tcW w:w="3155" w:type="dxa"/>
            <w:tcBorders>
              <w:top w:val="nil"/>
              <w:left w:val="nil"/>
              <w:bottom w:val="single" w:color="auto" w:sz="4" w:space="0"/>
              <w:right w:val="single" w:color="auto" w:sz="4" w:space="0"/>
            </w:tcBorders>
            <w:vAlign w:val="center"/>
          </w:tcPr>
          <w:p>
            <w:pPr>
              <w:widowControl/>
              <w:jc w:val="center"/>
              <w:rPr>
                <w:rFonts w:ascii="宋体" w:cs="Times New Roman"/>
                <w:kern w:val="0"/>
                <w:sz w:val="22"/>
              </w:rPr>
            </w:pPr>
            <w:r>
              <w:rPr>
                <w:rFonts w:ascii="宋体" w:cs="宋体"/>
                <w:kern w:val="0"/>
                <w:sz w:val="22"/>
                <w:szCs w:val="22"/>
              </w:rPr>
              <w:t>58</w:t>
            </w:r>
          </w:p>
        </w:tc>
        <w:tc>
          <w:tcPr>
            <w:tcW w:w="5103" w:type="dxa"/>
            <w:tcBorders>
              <w:top w:val="nil"/>
              <w:left w:val="nil"/>
              <w:bottom w:val="single" w:color="auto" w:sz="4" w:space="0"/>
              <w:right w:val="single" w:color="auto" w:sz="4" w:space="0"/>
            </w:tcBorders>
            <w:vAlign w:val="center"/>
          </w:tcPr>
          <w:p>
            <w:pPr>
              <w:widowControl/>
              <w:jc w:val="center"/>
              <w:rPr>
                <w:rFonts w:ascii="宋体" w:cs="Times New Roman"/>
                <w:kern w:val="0"/>
                <w:sz w:val="22"/>
              </w:rPr>
            </w:pPr>
            <w:r>
              <w:rPr>
                <w:rFonts w:ascii="宋体" w:cs="宋体"/>
                <w:kern w:val="0"/>
                <w:sz w:val="22"/>
                <w:szCs w:val="22"/>
              </w:rPr>
              <w:t>1174.44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39" w:hRule="atLeast"/>
        </w:trPr>
        <w:tc>
          <w:tcPr>
            <w:tcW w:w="5224" w:type="dxa"/>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2"/>
              </w:rPr>
            </w:pPr>
            <w:r>
              <w:rPr>
                <w:rFonts w:ascii="宋体" w:hAnsi="宋体" w:cs="宋体"/>
                <w:kern w:val="0"/>
                <w:sz w:val="22"/>
                <w:szCs w:val="22"/>
              </w:rPr>
              <w:t>3</w:t>
            </w:r>
            <w:r>
              <w:rPr>
                <w:rFonts w:hint="eastAsia" w:ascii="宋体" w:hAnsi="宋体" w:cs="宋体"/>
                <w:kern w:val="0"/>
                <w:sz w:val="22"/>
                <w:szCs w:val="22"/>
              </w:rPr>
              <w:t>、单价在</w:t>
            </w:r>
            <w:r>
              <w:rPr>
                <w:rFonts w:ascii="宋体" w:hAnsi="宋体" w:cs="宋体"/>
                <w:kern w:val="0"/>
                <w:sz w:val="22"/>
                <w:szCs w:val="22"/>
              </w:rPr>
              <w:t>20</w:t>
            </w:r>
            <w:r>
              <w:rPr>
                <w:rFonts w:hint="eastAsia" w:ascii="宋体" w:hAnsi="宋体" w:cs="宋体"/>
                <w:kern w:val="0"/>
                <w:sz w:val="22"/>
                <w:szCs w:val="22"/>
              </w:rPr>
              <w:t>万元以上的设备</w:t>
            </w:r>
          </w:p>
        </w:tc>
        <w:tc>
          <w:tcPr>
            <w:tcW w:w="3155" w:type="dxa"/>
            <w:tcBorders>
              <w:top w:val="nil"/>
              <w:left w:val="nil"/>
              <w:bottom w:val="single" w:color="auto" w:sz="4" w:space="0"/>
              <w:right w:val="single" w:color="auto" w:sz="4" w:space="0"/>
            </w:tcBorders>
            <w:vAlign w:val="center"/>
          </w:tcPr>
          <w:p>
            <w:pPr>
              <w:widowControl/>
              <w:jc w:val="center"/>
              <w:rPr>
                <w:rFonts w:ascii="宋体" w:cs="Times New Roman"/>
                <w:kern w:val="0"/>
                <w:sz w:val="22"/>
              </w:rPr>
            </w:pPr>
            <w:r>
              <w:rPr>
                <w:rFonts w:ascii="宋体" w:cs="宋体"/>
                <w:kern w:val="0"/>
                <w:sz w:val="22"/>
                <w:szCs w:val="22"/>
              </w:rPr>
              <w:t>0</w:t>
            </w:r>
          </w:p>
        </w:tc>
        <w:tc>
          <w:tcPr>
            <w:tcW w:w="5103" w:type="dxa"/>
            <w:tcBorders>
              <w:top w:val="nil"/>
              <w:left w:val="nil"/>
              <w:bottom w:val="single" w:color="auto" w:sz="4" w:space="0"/>
              <w:right w:val="single" w:color="auto" w:sz="4" w:space="0"/>
            </w:tcBorders>
            <w:vAlign w:val="center"/>
          </w:tcPr>
          <w:p>
            <w:pPr>
              <w:widowControl/>
              <w:jc w:val="center"/>
              <w:rPr>
                <w:rFonts w:ascii="宋体" w:cs="Times New Roman"/>
                <w:kern w:val="0"/>
                <w:sz w:val="22"/>
              </w:rPr>
            </w:pPr>
            <w:r>
              <w:rPr>
                <w:rFonts w:ascii="宋体" w:cs="宋体"/>
                <w:kern w:val="0"/>
                <w:sz w:val="22"/>
                <w:szCs w:val="2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39" w:hRule="atLeast"/>
        </w:trPr>
        <w:tc>
          <w:tcPr>
            <w:tcW w:w="5224" w:type="dxa"/>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2"/>
              </w:rPr>
            </w:pPr>
            <w:r>
              <w:rPr>
                <w:rFonts w:ascii="宋体" w:hAnsi="宋体" w:cs="宋体"/>
                <w:kern w:val="0"/>
                <w:sz w:val="22"/>
                <w:szCs w:val="22"/>
              </w:rPr>
              <w:t>4</w:t>
            </w:r>
            <w:r>
              <w:rPr>
                <w:rFonts w:hint="eastAsia" w:ascii="宋体" w:hAnsi="宋体" w:cs="宋体"/>
                <w:kern w:val="0"/>
                <w:sz w:val="22"/>
                <w:szCs w:val="22"/>
              </w:rPr>
              <w:t>、其他固定资产</w:t>
            </w:r>
          </w:p>
        </w:tc>
        <w:tc>
          <w:tcPr>
            <w:tcW w:w="3155" w:type="dxa"/>
            <w:tcBorders>
              <w:top w:val="nil"/>
              <w:left w:val="nil"/>
              <w:bottom w:val="single" w:color="auto" w:sz="4" w:space="0"/>
              <w:right w:val="single" w:color="auto" w:sz="4" w:space="0"/>
            </w:tcBorders>
            <w:vAlign w:val="center"/>
          </w:tcPr>
          <w:p>
            <w:pPr>
              <w:widowControl/>
              <w:jc w:val="center"/>
              <w:rPr>
                <w:rFonts w:ascii="宋体" w:cs="Times New Roman"/>
                <w:kern w:val="0"/>
                <w:sz w:val="22"/>
              </w:rPr>
            </w:pPr>
          </w:p>
        </w:tc>
        <w:tc>
          <w:tcPr>
            <w:tcW w:w="5103" w:type="dxa"/>
            <w:tcBorders>
              <w:top w:val="nil"/>
              <w:left w:val="nil"/>
              <w:bottom w:val="single" w:color="auto" w:sz="4" w:space="0"/>
              <w:right w:val="single" w:color="auto" w:sz="4" w:space="0"/>
            </w:tcBorders>
            <w:vAlign w:val="center"/>
          </w:tcPr>
          <w:p>
            <w:pPr>
              <w:widowControl/>
              <w:jc w:val="center"/>
              <w:rPr>
                <w:rFonts w:ascii="宋体" w:cs="Times New Roman"/>
                <w:kern w:val="0"/>
                <w:sz w:val="22"/>
              </w:rPr>
            </w:pPr>
            <w:r>
              <w:rPr>
                <w:rFonts w:ascii="宋体" w:cs="宋体"/>
                <w:kern w:val="0"/>
                <w:sz w:val="22"/>
                <w:szCs w:val="22"/>
              </w:rPr>
              <w:t>1562.89</w:t>
            </w:r>
          </w:p>
        </w:tc>
      </w:tr>
    </w:tbl>
    <w:p>
      <w:pPr>
        <w:rPr>
          <w:rFonts w:ascii="仿宋_GB2312" w:hAnsi="黑体" w:eastAsia="仿宋_GB2312" w:cs="Times New Roman"/>
          <w:color w:val="FF0000"/>
          <w:sz w:val="32"/>
          <w:szCs w:val="32"/>
        </w:rPr>
      </w:pPr>
    </w:p>
    <w:p>
      <w:pPr>
        <w:autoSpaceDE w:val="0"/>
        <w:autoSpaceDN w:val="0"/>
        <w:adjustRightInd w:val="0"/>
        <w:ind w:left="198" w:firstLine="640" w:firstLineChars="200"/>
        <w:jc w:val="left"/>
        <w:rPr>
          <w:rFonts w:ascii="黑体" w:hAnsi="黑体" w:eastAsia="黑体" w:cs="Times New Roman"/>
          <w:sz w:val="32"/>
          <w:szCs w:val="32"/>
        </w:rPr>
      </w:pPr>
      <w:r>
        <w:rPr>
          <w:rFonts w:hint="eastAsia" w:ascii="黑体" w:hAnsi="黑体" w:eastAsia="黑体" w:cs="黑体"/>
          <w:sz w:val="32"/>
          <w:szCs w:val="32"/>
        </w:rPr>
        <w:t>八、名词解释</w:t>
      </w:r>
    </w:p>
    <w:p>
      <w:pPr>
        <w:tabs>
          <w:tab w:val="left" w:pos="11490"/>
        </w:tabs>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1</w:t>
      </w:r>
      <w:r>
        <w:rPr>
          <w:rFonts w:hint="eastAsia" w:ascii="Times New Roman" w:hAnsi="Times New Roman" w:eastAsia="方正仿宋_GBK" w:cs="方正仿宋_GBK"/>
          <w:b/>
          <w:bCs/>
          <w:sz w:val="32"/>
          <w:szCs w:val="32"/>
        </w:rPr>
        <w:t>、一般公共预算拨款收入：</w:t>
      </w:r>
      <w:r>
        <w:rPr>
          <w:rFonts w:hint="eastAsia" w:ascii="Times New Roman" w:hAnsi="Times New Roman" w:eastAsia="方正仿宋_GBK" w:cs="方正仿宋_GBK"/>
          <w:sz w:val="32"/>
          <w:szCs w:val="32"/>
        </w:rPr>
        <w:t>指省级财政当年拨付的资金。</w:t>
      </w:r>
    </w:p>
    <w:p>
      <w:pPr>
        <w:tabs>
          <w:tab w:val="left" w:pos="11490"/>
        </w:tabs>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2</w:t>
      </w:r>
      <w:r>
        <w:rPr>
          <w:rFonts w:hint="eastAsia" w:ascii="Times New Roman" w:hAnsi="Times New Roman" w:eastAsia="方正仿宋_GBK" w:cs="方正仿宋_GBK"/>
          <w:b/>
          <w:bCs/>
          <w:sz w:val="32"/>
          <w:szCs w:val="32"/>
        </w:rPr>
        <w:t>、事业收入：</w:t>
      </w:r>
      <w:r>
        <w:rPr>
          <w:rFonts w:hint="eastAsia" w:ascii="Times New Roman" w:hAnsi="Times New Roman" w:eastAsia="方正仿宋_GBK" w:cs="方正仿宋_GBK"/>
          <w:sz w:val="32"/>
          <w:szCs w:val="32"/>
        </w:rPr>
        <w:t>指事业单位开展专业业务活动及辅助活动所取得的收入。</w:t>
      </w:r>
    </w:p>
    <w:p>
      <w:pPr>
        <w:tabs>
          <w:tab w:val="left" w:pos="11490"/>
        </w:tabs>
        <w:ind w:firstLine="643" w:firstLineChars="200"/>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3</w:t>
      </w:r>
      <w:r>
        <w:rPr>
          <w:rFonts w:hint="eastAsia" w:ascii="Times New Roman" w:hAnsi="Times New Roman" w:eastAsia="方正仿宋_GBK" w:cs="方正仿宋_GBK"/>
          <w:b/>
          <w:bCs/>
          <w:sz w:val="32"/>
          <w:szCs w:val="32"/>
        </w:rPr>
        <w:t>、其他收入：</w:t>
      </w:r>
      <w:r>
        <w:rPr>
          <w:rFonts w:hint="eastAsia" w:ascii="Times New Roman" w:hAnsi="Times New Roman" w:eastAsia="方正仿宋_GBK" w:cs="方正仿宋_GBK"/>
          <w:sz w:val="32"/>
          <w:szCs w:val="32"/>
        </w:rPr>
        <w:t>指除</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一般公共预算拨款收入</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事业收入</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等以外的收入。主要是按规定动用的租房收入、存款利息收入等。</w:t>
      </w:r>
    </w:p>
    <w:p>
      <w:pPr>
        <w:tabs>
          <w:tab w:val="left" w:pos="11490"/>
        </w:tabs>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4</w:t>
      </w:r>
      <w:r>
        <w:rPr>
          <w:rFonts w:hint="eastAsia" w:ascii="Times New Roman" w:hAnsi="Times New Roman" w:eastAsia="方正仿宋_GBK" w:cs="方正仿宋_GBK"/>
          <w:b/>
          <w:bCs/>
          <w:sz w:val="32"/>
          <w:szCs w:val="32"/>
        </w:rPr>
        <w:t>、基本支出：</w:t>
      </w:r>
      <w:r>
        <w:rPr>
          <w:rFonts w:hint="eastAsia" w:ascii="Times New Roman" w:hAnsi="Times New Roman" w:eastAsia="方正仿宋_GBK" w:cs="方正仿宋_GBK"/>
          <w:sz w:val="32"/>
          <w:szCs w:val="32"/>
        </w:rPr>
        <w:t>指为保障机构正常运转、完成日常工作任务而发生的人员支出和公用支出。</w:t>
      </w:r>
    </w:p>
    <w:p>
      <w:pPr>
        <w:tabs>
          <w:tab w:val="left" w:pos="11490"/>
        </w:tabs>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5</w:t>
      </w:r>
      <w:r>
        <w:rPr>
          <w:rFonts w:hint="eastAsia" w:ascii="Times New Roman" w:hAnsi="Times New Roman" w:eastAsia="方正仿宋_GBK" w:cs="方正仿宋_GBK"/>
          <w:b/>
          <w:bCs/>
          <w:sz w:val="32"/>
          <w:szCs w:val="32"/>
        </w:rPr>
        <w:t>、项目支出：</w:t>
      </w:r>
      <w:r>
        <w:rPr>
          <w:rFonts w:hint="eastAsia" w:ascii="Times New Roman" w:hAnsi="Times New Roman" w:eastAsia="方正仿宋_GBK" w:cs="方正仿宋_GBK"/>
          <w:sz w:val="32"/>
          <w:szCs w:val="32"/>
        </w:rPr>
        <w:t>指在基本支出之外为完成特定行政任务和事业发展目标所发生的支出。</w:t>
      </w:r>
    </w:p>
    <w:p>
      <w:pPr>
        <w:tabs>
          <w:tab w:val="left" w:pos="11490"/>
        </w:tabs>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6</w:t>
      </w:r>
      <w:r>
        <w:rPr>
          <w:rFonts w:hint="eastAsia" w:ascii="Times New Roman" w:hAnsi="Times New Roman" w:eastAsia="方正仿宋_GBK" w:cs="方正仿宋_GBK"/>
          <w:b/>
          <w:bCs/>
          <w:sz w:val="32"/>
          <w:szCs w:val="32"/>
        </w:rPr>
        <w:t>、上缴上级支出：</w:t>
      </w:r>
      <w:r>
        <w:rPr>
          <w:rFonts w:hint="eastAsia" w:ascii="Times New Roman" w:hAnsi="Times New Roman" w:eastAsia="方正仿宋_GBK" w:cs="方正仿宋_GBK"/>
          <w:sz w:val="32"/>
          <w:szCs w:val="32"/>
        </w:rPr>
        <w:t>指下级单位上缴上级的支出。</w:t>
      </w:r>
    </w:p>
    <w:p>
      <w:pPr>
        <w:tabs>
          <w:tab w:val="left" w:pos="11490"/>
        </w:tabs>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7</w:t>
      </w:r>
      <w:r>
        <w:rPr>
          <w:rFonts w:hint="eastAsia" w:ascii="Times New Roman" w:hAnsi="Times New Roman" w:eastAsia="方正仿宋_GBK" w:cs="方正仿宋_GBK"/>
          <w:b/>
          <w:bCs/>
          <w:sz w:val="32"/>
          <w:szCs w:val="32"/>
        </w:rPr>
        <w:t>、</w:t>
      </w:r>
      <w:r>
        <w:rPr>
          <w:rFonts w:ascii="Times New Roman" w:hAnsi="Times New Roman" w:eastAsia="方正仿宋_GBK" w:cs="Times New Roman"/>
          <w:b/>
          <w:bCs/>
          <w:sz w:val="32"/>
          <w:szCs w:val="32"/>
        </w:rPr>
        <w:t>“</w:t>
      </w:r>
      <w:r>
        <w:rPr>
          <w:rFonts w:hint="eastAsia" w:ascii="Times New Roman" w:hAnsi="Times New Roman" w:eastAsia="方正仿宋_GBK" w:cs="方正仿宋_GBK"/>
          <w:b/>
          <w:bCs/>
          <w:sz w:val="32"/>
          <w:szCs w:val="32"/>
        </w:rPr>
        <w:t>三公</w:t>
      </w:r>
      <w:r>
        <w:rPr>
          <w:rFonts w:ascii="Times New Roman" w:hAnsi="Times New Roman" w:eastAsia="方正仿宋_GBK" w:cs="Times New Roman"/>
          <w:b/>
          <w:bCs/>
          <w:sz w:val="32"/>
          <w:szCs w:val="32"/>
        </w:rPr>
        <w:t>”</w:t>
      </w:r>
      <w:r>
        <w:rPr>
          <w:rFonts w:hint="eastAsia" w:ascii="Times New Roman" w:hAnsi="Times New Roman" w:eastAsia="方正仿宋_GBK" w:cs="方正仿宋_GBK"/>
          <w:b/>
          <w:bCs/>
          <w:sz w:val="32"/>
          <w:szCs w:val="32"/>
        </w:rPr>
        <w:t>经费：</w:t>
      </w:r>
      <w:r>
        <w:rPr>
          <w:rFonts w:hint="eastAsia" w:ascii="Times New Roman" w:hAnsi="Times New Roman" w:eastAsia="方正仿宋_GBK" w:cs="方正仿宋_GBK"/>
          <w:sz w:val="32"/>
          <w:szCs w:val="32"/>
        </w:rPr>
        <w:t>纳入省级财政预算管理的</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三公</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经费，是指省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tabs>
          <w:tab w:val="left" w:pos="11490"/>
        </w:tabs>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8</w:t>
      </w:r>
      <w:r>
        <w:rPr>
          <w:rFonts w:hint="eastAsia" w:ascii="Times New Roman" w:hAnsi="Times New Roman" w:eastAsia="方正仿宋_GBK" w:cs="方正仿宋_GBK"/>
          <w:b/>
          <w:bCs/>
          <w:sz w:val="32"/>
          <w:szCs w:val="32"/>
        </w:rPr>
        <w:t>、机关运行费：</w:t>
      </w:r>
      <w:r>
        <w:rPr>
          <w:rFonts w:hint="eastAsia" w:ascii="Times New Roman" w:hAnsi="Times New Roman" w:eastAsia="方正仿宋_GBK" w:cs="方正仿宋_GBK"/>
          <w:sz w:val="32"/>
          <w:szCs w:val="32"/>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tabs>
          <w:tab w:val="left" w:pos="11490"/>
        </w:tabs>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9</w:t>
      </w:r>
      <w:r>
        <w:rPr>
          <w:rFonts w:hint="eastAsia" w:ascii="Times New Roman" w:hAnsi="Times New Roman" w:eastAsia="方正仿宋_GBK" w:cs="方正仿宋_GBK"/>
          <w:b/>
          <w:bCs/>
          <w:sz w:val="32"/>
          <w:szCs w:val="32"/>
        </w:rPr>
        <w:t>、上年结转：</w:t>
      </w:r>
      <w:r>
        <w:rPr>
          <w:rFonts w:hint="eastAsia" w:ascii="Times New Roman" w:hAnsi="Times New Roman" w:eastAsia="方正仿宋_GBK" w:cs="方正仿宋_GBK"/>
          <w:sz w:val="32"/>
          <w:szCs w:val="32"/>
        </w:rPr>
        <w:t>指以前年度尚未完成、结转到本年仍按原规定用途继续使用的资金。</w:t>
      </w:r>
    </w:p>
    <w:p>
      <w:pPr>
        <w:tabs>
          <w:tab w:val="left" w:pos="11490"/>
        </w:tabs>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10</w:t>
      </w:r>
      <w:r>
        <w:rPr>
          <w:rFonts w:hint="eastAsia" w:ascii="Times New Roman" w:hAnsi="Times New Roman" w:eastAsia="方正仿宋_GBK" w:cs="方正仿宋_GBK"/>
          <w:b/>
          <w:bCs/>
          <w:sz w:val="32"/>
          <w:szCs w:val="32"/>
        </w:rPr>
        <w:t>、事业单位经营支出：</w:t>
      </w:r>
      <w:r>
        <w:rPr>
          <w:rFonts w:hint="eastAsia" w:ascii="Times New Roman" w:hAnsi="Times New Roman" w:eastAsia="方正仿宋_GBK" w:cs="方正仿宋_GBK"/>
          <w:sz w:val="32"/>
          <w:szCs w:val="32"/>
        </w:rPr>
        <w:t>指事业单位在专业业务活动及其辅助活动之外开展非独立核算经营活动发生的支出。</w:t>
      </w:r>
    </w:p>
    <w:p>
      <w:pPr>
        <w:autoSpaceDE w:val="0"/>
        <w:autoSpaceDN w:val="0"/>
        <w:adjustRightInd w:val="0"/>
        <w:ind w:left="198" w:firstLine="640" w:firstLineChars="200"/>
        <w:jc w:val="left"/>
        <w:rPr>
          <w:rFonts w:ascii="黑体" w:hAnsi="黑体" w:eastAsia="黑体" w:cs="Times New Roman"/>
          <w:sz w:val="32"/>
          <w:szCs w:val="32"/>
        </w:rPr>
      </w:pPr>
      <w:r>
        <w:rPr>
          <w:rFonts w:hint="eastAsia" w:ascii="黑体" w:hAnsi="黑体" w:eastAsia="黑体" w:cs="黑体"/>
          <w:sz w:val="32"/>
          <w:szCs w:val="32"/>
        </w:rPr>
        <w:t>九、其他需要说明的事项</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仿宋_GB2312"/>
          <w:sz w:val="32"/>
          <w:szCs w:val="32"/>
        </w:rPr>
        <w:t>我部门无其他需要说明的事项。</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书宋_GBK">
    <w:altName w:val="微软雅黑"/>
    <w:panose1 w:val="03000509000000000000"/>
    <w:charset w:val="86"/>
    <w:family w:val="auto"/>
    <w:pitch w:val="default"/>
    <w:sig w:usb0="00000001" w:usb1="080E0000" w:usb2="00000010" w:usb3="00000000" w:csb0="00040000" w:csb1="00000000"/>
  </w:font>
  <w:font w:name="仿宋_GB2312">
    <w:altName w:val="仿宋"/>
    <w:panose1 w:val="02010609030101010101"/>
    <w:charset w:val="86"/>
    <w:family w:val="auto"/>
    <w:pitch w:val="default"/>
    <w:sig w:usb0="00000001" w:usb1="080E0000" w:usb2="0000001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splitPgBreakAndParaMark/>
    <w:doNotExpandShiftReturn/>
    <w:adjustLineHeightInTable/>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F66032"/>
    <w:rsid w:val="00037AF6"/>
    <w:rsid w:val="0004377D"/>
    <w:rsid w:val="0007204D"/>
    <w:rsid w:val="00075D5F"/>
    <w:rsid w:val="000B1065"/>
    <w:rsid w:val="000B529B"/>
    <w:rsid w:val="000B63F3"/>
    <w:rsid w:val="000C3A19"/>
    <w:rsid w:val="000C57E2"/>
    <w:rsid w:val="00104AA8"/>
    <w:rsid w:val="001245BB"/>
    <w:rsid w:val="001251A3"/>
    <w:rsid w:val="00126FC6"/>
    <w:rsid w:val="00141401"/>
    <w:rsid w:val="00152EA4"/>
    <w:rsid w:val="001E37CE"/>
    <w:rsid w:val="001E7CCB"/>
    <w:rsid w:val="001F7873"/>
    <w:rsid w:val="00216163"/>
    <w:rsid w:val="00223594"/>
    <w:rsid w:val="00233910"/>
    <w:rsid w:val="00236EFD"/>
    <w:rsid w:val="00241FD4"/>
    <w:rsid w:val="002421B1"/>
    <w:rsid w:val="002442E5"/>
    <w:rsid w:val="00247237"/>
    <w:rsid w:val="00251B12"/>
    <w:rsid w:val="00266627"/>
    <w:rsid w:val="00296113"/>
    <w:rsid w:val="002A673A"/>
    <w:rsid w:val="002C5E13"/>
    <w:rsid w:val="002C62BC"/>
    <w:rsid w:val="002E0EB8"/>
    <w:rsid w:val="002E7D5B"/>
    <w:rsid w:val="002F3E58"/>
    <w:rsid w:val="00301353"/>
    <w:rsid w:val="0030542C"/>
    <w:rsid w:val="00311B7A"/>
    <w:rsid w:val="00320779"/>
    <w:rsid w:val="003367AC"/>
    <w:rsid w:val="00365F66"/>
    <w:rsid w:val="00372FA3"/>
    <w:rsid w:val="00394229"/>
    <w:rsid w:val="003A35F3"/>
    <w:rsid w:val="003A7D6C"/>
    <w:rsid w:val="003E4381"/>
    <w:rsid w:val="00420459"/>
    <w:rsid w:val="004248B8"/>
    <w:rsid w:val="00424943"/>
    <w:rsid w:val="0043175C"/>
    <w:rsid w:val="00437296"/>
    <w:rsid w:val="00437D47"/>
    <w:rsid w:val="0044325F"/>
    <w:rsid w:val="00451590"/>
    <w:rsid w:val="00451871"/>
    <w:rsid w:val="004631FC"/>
    <w:rsid w:val="00467EF4"/>
    <w:rsid w:val="004706DE"/>
    <w:rsid w:val="00472923"/>
    <w:rsid w:val="00481D21"/>
    <w:rsid w:val="00487B47"/>
    <w:rsid w:val="004B0C3A"/>
    <w:rsid w:val="004C2A66"/>
    <w:rsid w:val="004D5788"/>
    <w:rsid w:val="004E3066"/>
    <w:rsid w:val="004E74CD"/>
    <w:rsid w:val="004E7B8E"/>
    <w:rsid w:val="00500B8E"/>
    <w:rsid w:val="00504B8C"/>
    <w:rsid w:val="00513ABB"/>
    <w:rsid w:val="005225C9"/>
    <w:rsid w:val="00556292"/>
    <w:rsid w:val="00572067"/>
    <w:rsid w:val="00573562"/>
    <w:rsid w:val="00590ECE"/>
    <w:rsid w:val="0059195B"/>
    <w:rsid w:val="005B417E"/>
    <w:rsid w:val="00611CAC"/>
    <w:rsid w:val="00614A29"/>
    <w:rsid w:val="00614CAB"/>
    <w:rsid w:val="00622E6C"/>
    <w:rsid w:val="006648B7"/>
    <w:rsid w:val="006720E7"/>
    <w:rsid w:val="00673D76"/>
    <w:rsid w:val="0068015D"/>
    <w:rsid w:val="00682697"/>
    <w:rsid w:val="006854F0"/>
    <w:rsid w:val="00691388"/>
    <w:rsid w:val="006B1C4A"/>
    <w:rsid w:val="006B610D"/>
    <w:rsid w:val="006E49F5"/>
    <w:rsid w:val="006F5595"/>
    <w:rsid w:val="007013C8"/>
    <w:rsid w:val="00744CBD"/>
    <w:rsid w:val="00753836"/>
    <w:rsid w:val="0075393C"/>
    <w:rsid w:val="00754592"/>
    <w:rsid w:val="00762925"/>
    <w:rsid w:val="007729FD"/>
    <w:rsid w:val="00776C08"/>
    <w:rsid w:val="0079036A"/>
    <w:rsid w:val="007B3A06"/>
    <w:rsid w:val="007B502F"/>
    <w:rsid w:val="007C219A"/>
    <w:rsid w:val="007E1DA8"/>
    <w:rsid w:val="007F6C26"/>
    <w:rsid w:val="00813208"/>
    <w:rsid w:val="008334AE"/>
    <w:rsid w:val="00836FED"/>
    <w:rsid w:val="0083724E"/>
    <w:rsid w:val="00845CD2"/>
    <w:rsid w:val="00852B0D"/>
    <w:rsid w:val="0087206D"/>
    <w:rsid w:val="00881692"/>
    <w:rsid w:val="00883D1A"/>
    <w:rsid w:val="008A0488"/>
    <w:rsid w:val="008A25C2"/>
    <w:rsid w:val="008A6576"/>
    <w:rsid w:val="008B3CC5"/>
    <w:rsid w:val="008B52CD"/>
    <w:rsid w:val="008E4261"/>
    <w:rsid w:val="008F4662"/>
    <w:rsid w:val="008F7062"/>
    <w:rsid w:val="00905D08"/>
    <w:rsid w:val="00925753"/>
    <w:rsid w:val="00930986"/>
    <w:rsid w:val="009425F4"/>
    <w:rsid w:val="0095718E"/>
    <w:rsid w:val="00966C5C"/>
    <w:rsid w:val="00973104"/>
    <w:rsid w:val="00987435"/>
    <w:rsid w:val="00995BF0"/>
    <w:rsid w:val="009A16D5"/>
    <w:rsid w:val="009A353D"/>
    <w:rsid w:val="009B0B77"/>
    <w:rsid w:val="009B511E"/>
    <w:rsid w:val="009C0D95"/>
    <w:rsid w:val="009C179E"/>
    <w:rsid w:val="009D668C"/>
    <w:rsid w:val="009F2CDB"/>
    <w:rsid w:val="00A429B6"/>
    <w:rsid w:val="00A44E3D"/>
    <w:rsid w:val="00A658A8"/>
    <w:rsid w:val="00A703DC"/>
    <w:rsid w:val="00A72D2E"/>
    <w:rsid w:val="00A73C6F"/>
    <w:rsid w:val="00A74447"/>
    <w:rsid w:val="00A74CE5"/>
    <w:rsid w:val="00A911E7"/>
    <w:rsid w:val="00A939D9"/>
    <w:rsid w:val="00AE35C9"/>
    <w:rsid w:val="00B20712"/>
    <w:rsid w:val="00B320DD"/>
    <w:rsid w:val="00B43238"/>
    <w:rsid w:val="00B45DD3"/>
    <w:rsid w:val="00B47870"/>
    <w:rsid w:val="00B52632"/>
    <w:rsid w:val="00B75216"/>
    <w:rsid w:val="00B76AE8"/>
    <w:rsid w:val="00B91D52"/>
    <w:rsid w:val="00B9490F"/>
    <w:rsid w:val="00BA1ACD"/>
    <w:rsid w:val="00BC0973"/>
    <w:rsid w:val="00BC1383"/>
    <w:rsid w:val="00BD09F8"/>
    <w:rsid w:val="00BD1BB1"/>
    <w:rsid w:val="00C55622"/>
    <w:rsid w:val="00C76BBA"/>
    <w:rsid w:val="00C949AD"/>
    <w:rsid w:val="00CA7176"/>
    <w:rsid w:val="00CB3D48"/>
    <w:rsid w:val="00CC75B0"/>
    <w:rsid w:val="00CD1D92"/>
    <w:rsid w:val="00CD2773"/>
    <w:rsid w:val="00CE143B"/>
    <w:rsid w:val="00D11254"/>
    <w:rsid w:val="00D27003"/>
    <w:rsid w:val="00DC081D"/>
    <w:rsid w:val="00E14377"/>
    <w:rsid w:val="00E167C7"/>
    <w:rsid w:val="00E16C07"/>
    <w:rsid w:val="00E30416"/>
    <w:rsid w:val="00E70CE6"/>
    <w:rsid w:val="00E95C9A"/>
    <w:rsid w:val="00EC47F6"/>
    <w:rsid w:val="00ED0323"/>
    <w:rsid w:val="00EF067F"/>
    <w:rsid w:val="00EF5A7D"/>
    <w:rsid w:val="00EF6917"/>
    <w:rsid w:val="00F149E2"/>
    <w:rsid w:val="00F51BC2"/>
    <w:rsid w:val="00F56B42"/>
    <w:rsid w:val="00F66032"/>
    <w:rsid w:val="00F718E8"/>
    <w:rsid w:val="00F730BE"/>
    <w:rsid w:val="00F87C1E"/>
    <w:rsid w:val="00F93965"/>
    <w:rsid w:val="00F958C2"/>
    <w:rsid w:val="00FB7837"/>
    <w:rsid w:val="1A1106A9"/>
  </w:rsids>
  <w:doNotAutoCompressPicture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99" w:name="toc 1"/>
    <w:lsdException w:unhideWhenUsed="0" w:uiPriority="99" w:name="toc 2"/>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unhideWhenUsed="0" w:uiPriority="99" w:semiHidden="0" w:name="header"/>
    <w:lsdException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99"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unhideWhenUsed/>
    <w:uiPriority w:val="1"/>
  </w:style>
  <w:style w:type="table" w:default="1" w:styleId="8">
    <w:name w:val="Normal Table"/>
    <w:unhideWhenUsed/>
    <w:uiPriority w:val="99"/>
    <w:tblPr>
      <w:tblStyle w:val="8"/>
      <w:tblLayout w:type="fixed"/>
      <w:tblCellMar>
        <w:top w:w="0" w:type="dxa"/>
        <w:left w:w="108" w:type="dxa"/>
        <w:bottom w:w="0" w:type="dxa"/>
        <w:right w:w="108" w:type="dxa"/>
      </w:tblCellMar>
    </w:tblPr>
    <w:tcPr>
      <w:textDirection w:val="lrTb"/>
    </w:tcPr>
  </w:style>
  <w:style w:type="paragraph" w:styleId="2">
    <w:name w:val="Balloon Text"/>
    <w:basedOn w:val="1"/>
    <w:link w:val="12"/>
    <w:semiHidden/>
    <w:uiPriority w:val="99"/>
    <w:rPr>
      <w:kern w:val="0"/>
      <w:sz w:val="18"/>
      <w:szCs w:val="18"/>
    </w:rPr>
  </w:style>
  <w:style w:type="paragraph" w:styleId="3">
    <w:name w:val="footer"/>
    <w:basedOn w:val="1"/>
    <w:link w:val="11"/>
    <w:uiPriority w:val="99"/>
    <w:pPr>
      <w:tabs>
        <w:tab w:val="center" w:pos="4153"/>
        <w:tab w:val="right" w:pos="8306"/>
      </w:tabs>
      <w:snapToGrid w:val="0"/>
      <w:jc w:val="left"/>
    </w:pPr>
    <w:rPr>
      <w:rFonts w:ascii="Times New Roman" w:hAnsi="Times New Roman" w:cs="Times New Roman"/>
      <w:kern w:val="0"/>
      <w:sz w:val="18"/>
      <w:szCs w:val="18"/>
    </w:rPr>
  </w:style>
  <w:style w:type="paragraph" w:styleId="4">
    <w:name w:val="header"/>
    <w:basedOn w:val="1"/>
    <w:link w:val="10"/>
    <w:uiPriority w:val="99"/>
    <w:pPr>
      <w:pBdr>
        <w:bottom w:val="single" w:color="auto" w:sz="6" w:space="1"/>
      </w:pBdr>
      <w:tabs>
        <w:tab w:val="center" w:pos="4153"/>
        <w:tab w:val="right" w:pos="8306"/>
      </w:tabs>
      <w:snapToGrid w:val="0"/>
      <w:jc w:val="center"/>
    </w:pPr>
    <w:rPr>
      <w:rFonts w:ascii="Times New Roman" w:hAnsi="Times New Roman" w:cs="Times New Roman"/>
      <w:kern w:val="0"/>
      <w:sz w:val="18"/>
      <w:szCs w:val="18"/>
    </w:rPr>
  </w:style>
  <w:style w:type="paragraph" w:styleId="5">
    <w:name w:val="toc 1"/>
    <w:basedOn w:val="1"/>
    <w:next w:val="1"/>
    <w:semiHidden/>
    <w:uiPriority w:val="99"/>
    <w:rPr>
      <w:rFonts w:ascii="Times New Roman" w:hAnsi="Times New Roman" w:cs="Times New Roman"/>
    </w:rPr>
  </w:style>
  <w:style w:type="paragraph" w:styleId="6">
    <w:name w:val="toc 2"/>
    <w:basedOn w:val="1"/>
    <w:next w:val="1"/>
    <w:semiHidden/>
    <w:uiPriority w:val="99"/>
    <w:pPr>
      <w:ind w:left="420" w:leftChars="200"/>
    </w:pPr>
    <w:rPr>
      <w:rFonts w:ascii="Times New Roman" w:hAnsi="Times New Roman" w:cs="Times New Roman"/>
    </w:rPr>
  </w:style>
  <w:style w:type="paragraph" w:customStyle="1" w:styleId="9">
    <w:name w:val="Defaul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0">
    <w:name w:val="页眉 Char"/>
    <w:link w:val="4"/>
    <w:locked/>
    <w:uiPriority w:val="99"/>
    <w:rPr>
      <w:rFonts w:ascii="Times New Roman" w:hAnsi="Times New Roman" w:eastAsia="宋体" w:cs="Times New Roman"/>
      <w:sz w:val="18"/>
      <w:szCs w:val="18"/>
    </w:rPr>
  </w:style>
  <w:style w:type="character" w:customStyle="1" w:styleId="11">
    <w:name w:val="页脚 Char"/>
    <w:link w:val="3"/>
    <w:locked/>
    <w:uiPriority w:val="99"/>
    <w:rPr>
      <w:rFonts w:ascii="Times New Roman" w:hAnsi="Times New Roman" w:eastAsia="宋体" w:cs="Times New Roman"/>
      <w:sz w:val="18"/>
      <w:szCs w:val="18"/>
    </w:rPr>
  </w:style>
  <w:style w:type="character" w:customStyle="1" w:styleId="12">
    <w:name w:val="批注框文本 Char"/>
    <w:link w:val="2"/>
    <w:semiHidden/>
    <w:locked/>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427</Words>
  <Characters>2439</Characters>
  <Lines>20</Lines>
  <Paragraphs>5</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2019-01-18T00:55:00Z</dcterms:created>
  <dc:creator>guest</dc:creator>
  <cp:lastModifiedBy>Administrator</cp:lastModifiedBy>
  <cp:lastPrinted>2019-01-17T06:45:00Z</cp:lastPrinted>
  <dcterms:modified xsi:type="dcterms:W3CDTF">2021-04-19T09:17:54Z</dcterms:modified>
  <dc:title>中共河北省纪委2019年部门预算信息公开情况说明</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